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广东省惠州市惠东县稔山镇蟹洲海堤水闸重建工程（编号03号）劳务合作</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惠州志宏工程监理咨询有限公司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2025年1月3日</w:t>
      </w:r>
    </w:p>
    <w:p w14:paraId="44A8A73A">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C32D395">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
          <w:bCs/>
          <w:color w:val="auto"/>
          <w:sz w:val="52"/>
          <w:szCs w:val="52"/>
          <w:highlight w:val="none"/>
        </w:rPr>
        <w:fldChar w:fldCharType="begin"/>
      </w:r>
      <w:r>
        <w:rPr>
          <w:rFonts w:hint="eastAsia" w:ascii="宋体" w:hAnsi="宋体" w:eastAsia="宋体" w:cs="宋体"/>
          <w:b/>
          <w:bCs/>
          <w:color w:val="auto"/>
          <w:sz w:val="52"/>
          <w:szCs w:val="52"/>
          <w:highlight w:val="none"/>
        </w:rPr>
        <w:instrText xml:space="preserve">TOC \o "1-2" \h \u </w:instrText>
      </w:r>
      <w:r>
        <w:rPr>
          <w:rFonts w:hint="eastAsia" w:ascii="宋体" w:hAnsi="宋体" w:eastAsia="宋体" w:cs="宋体"/>
          <w:b/>
          <w:bCs/>
          <w:color w:val="auto"/>
          <w:sz w:val="52"/>
          <w:szCs w:val="52"/>
          <w:highlight w:val="none"/>
        </w:rPr>
        <w:fldChar w:fldCharType="separate"/>
      </w: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_Toc19783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第一部分</w:t>
      </w:r>
      <w:r>
        <w:rPr>
          <w:rFonts w:hint="eastAsia" w:ascii="宋体" w:hAnsi="宋体" w:eastAsia="宋体" w:cs="宋体"/>
          <w:bCs/>
          <w:sz w:val="32"/>
          <w:szCs w:val="40"/>
          <w:highlight w:val="none"/>
          <w:lang w:val="zh-TW" w:eastAsia="zh-TW"/>
        </w:rPr>
        <w:t xml:space="preserve">  </w:t>
      </w:r>
      <w:r>
        <w:rPr>
          <w:rFonts w:hint="eastAsia" w:ascii="宋体" w:hAnsi="宋体" w:eastAsia="宋体" w:cs="宋体"/>
          <w:bCs/>
          <w:sz w:val="32"/>
          <w:szCs w:val="40"/>
          <w:highlight w:val="none"/>
          <w:lang w:val="en-US" w:eastAsia="zh-CN"/>
        </w:rPr>
        <w:t>竞价</w:t>
      </w:r>
      <w:r>
        <w:rPr>
          <w:rFonts w:hint="eastAsia" w:ascii="宋体" w:hAnsi="宋体" w:eastAsia="宋体" w:cs="宋体"/>
          <w:bCs/>
          <w:sz w:val="32"/>
          <w:szCs w:val="40"/>
          <w:highlight w:val="none"/>
          <w:lang w:val="zh-TW" w:eastAsia="zh-TW"/>
        </w:rPr>
        <w:t>公告</w:t>
      </w:r>
      <w:r>
        <w:rPr>
          <w:sz w:val="32"/>
          <w:szCs w:val="32"/>
        </w:rPr>
        <w:tab/>
      </w:r>
      <w:r>
        <w:rPr>
          <w:sz w:val="32"/>
          <w:szCs w:val="32"/>
        </w:rPr>
        <w:fldChar w:fldCharType="begin"/>
      </w:r>
      <w:r>
        <w:rPr>
          <w:sz w:val="32"/>
          <w:szCs w:val="32"/>
        </w:rPr>
        <w:instrText xml:space="preserve"> PAGEREF _Toc19783 \h </w:instrText>
      </w:r>
      <w:r>
        <w:rPr>
          <w:sz w:val="32"/>
          <w:szCs w:val="32"/>
        </w:rPr>
        <w:fldChar w:fldCharType="separate"/>
      </w:r>
      <w:r>
        <w:rPr>
          <w:sz w:val="32"/>
          <w:szCs w:val="32"/>
        </w:rPr>
        <w:t>3</w:t>
      </w:r>
      <w:r>
        <w:rPr>
          <w:sz w:val="32"/>
          <w:szCs w:val="32"/>
        </w:rPr>
        <w:fldChar w:fldCharType="end"/>
      </w:r>
      <w:r>
        <w:rPr>
          <w:rFonts w:hint="eastAsia" w:ascii="宋体" w:hAnsi="宋体" w:eastAsia="宋体" w:cs="宋体"/>
          <w:bCs/>
          <w:color w:val="auto"/>
          <w:sz w:val="32"/>
          <w:szCs w:val="52"/>
          <w:highlight w:val="none"/>
        </w:rPr>
        <w:fldChar w:fldCharType="end"/>
      </w:r>
    </w:p>
    <w:p w14:paraId="5C779F4E">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_Toc23739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zh-TW" w:eastAsia="zh-TW"/>
        </w:rPr>
        <w:t>第</w:t>
      </w:r>
      <w:r>
        <w:rPr>
          <w:rFonts w:hint="eastAsia" w:ascii="宋体" w:hAnsi="宋体" w:eastAsia="宋体" w:cs="宋体"/>
          <w:bCs/>
          <w:sz w:val="32"/>
          <w:szCs w:val="40"/>
          <w:highlight w:val="none"/>
          <w:lang w:eastAsia="zh-CN"/>
        </w:rPr>
        <w:t>二</w:t>
      </w:r>
      <w:r>
        <w:rPr>
          <w:rFonts w:hint="eastAsia" w:ascii="宋体" w:hAnsi="宋体" w:eastAsia="宋体" w:cs="宋体"/>
          <w:bCs/>
          <w:sz w:val="32"/>
          <w:szCs w:val="40"/>
          <w:highlight w:val="none"/>
          <w:lang w:val="zh-TW" w:eastAsia="zh-TW"/>
        </w:rPr>
        <w:t xml:space="preserve">部分  </w:t>
      </w:r>
      <w:r>
        <w:rPr>
          <w:rFonts w:hint="eastAsia" w:ascii="宋体" w:hAnsi="宋体" w:eastAsia="宋体" w:cs="宋体"/>
          <w:bCs/>
          <w:sz w:val="32"/>
          <w:szCs w:val="40"/>
          <w:highlight w:val="none"/>
          <w:lang w:eastAsia="zh-CN"/>
        </w:rPr>
        <w:t>参选人须知</w:t>
      </w:r>
      <w:r>
        <w:rPr>
          <w:sz w:val="32"/>
          <w:szCs w:val="32"/>
        </w:rPr>
        <w:tab/>
      </w:r>
      <w:r>
        <w:rPr>
          <w:sz w:val="32"/>
          <w:szCs w:val="32"/>
        </w:rPr>
        <w:fldChar w:fldCharType="begin"/>
      </w:r>
      <w:r>
        <w:rPr>
          <w:sz w:val="32"/>
          <w:szCs w:val="32"/>
        </w:rPr>
        <w:instrText xml:space="preserve"> PAGEREF _Toc23739 \h </w:instrText>
      </w:r>
      <w:r>
        <w:rPr>
          <w:sz w:val="32"/>
          <w:szCs w:val="32"/>
        </w:rPr>
        <w:fldChar w:fldCharType="separate"/>
      </w:r>
      <w:r>
        <w:rPr>
          <w:sz w:val="32"/>
          <w:szCs w:val="32"/>
        </w:rPr>
        <w:t>6</w:t>
      </w:r>
      <w:r>
        <w:rPr>
          <w:sz w:val="32"/>
          <w:szCs w:val="32"/>
        </w:rPr>
        <w:fldChar w:fldCharType="end"/>
      </w:r>
      <w:r>
        <w:rPr>
          <w:rFonts w:hint="eastAsia" w:ascii="宋体" w:hAnsi="宋体" w:eastAsia="宋体" w:cs="宋体"/>
          <w:bCs/>
          <w:color w:val="auto"/>
          <w:sz w:val="32"/>
          <w:szCs w:val="52"/>
          <w:highlight w:val="none"/>
        </w:rPr>
        <w:fldChar w:fldCharType="end"/>
      </w:r>
    </w:p>
    <w:p w14:paraId="6403504C">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_Toc11382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lang w:val="en-US" w:eastAsia="zh-CN"/>
        </w:rPr>
        <w:t xml:space="preserve">第三部分 </w:t>
      </w:r>
      <w:r>
        <w:rPr>
          <w:rFonts w:hint="eastAsia" w:ascii="宋体" w:hAnsi="宋体" w:eastAsia="宋体" w:cs="宋体"/>
          <w:bCs/>
          <w:sz w:val="32"/>
          <w:szCs w:val="40"/>
          <w:highlight w:val="none"/>
          <w:lang w:val="en-US" w:eastAsia="zh-CN"/>
        </w:rPr>
        <w:t>工程量清单</w:t>
      </w:r>
      <w:r>
        <w:rPr>
          <w:sz w:val="32"/>
          <w:szCs w:val="32"/>
        </w:rPr>
        <w:tab/>
      </w:r>
      <w:r>
        <w:rPr>
          <w:sz w:val="32"/>
          <w:szCs w:val="32"/>
        </w:rPr>
        <w:fldChar w:fldCharType="begin"/>
      </w:r>
      <w:r>
        <w:rPr>
          <w:sz w:val="32"/>
          <w:szCs w:val="32"/>
        </w:rPr>
        <w:instrText xml:space="preserve"> PAGEREF _Toc11382 \h </w:instrText>
      </w:r>
      <w:r>
        <w:rPr>
          <w:sz w:val="32"/>
          <w:szCs w:val="32"/>
        </w:rPr>
        <w:fldChar w:fldCharType="separate"/>
      </w:r>
      <w:r>
        <w:rPr>
          <w:sz w:val="32"/>
          <w:szCs w:val="32"/>
        </w:rPr>
        <w:t>12</w:t>
      </w:r>
      <w:r>
        <w:rPr>
          <w:sz w:val="32"/>
          <w:szCs w:val="32"/>
        </w:rPr>
        <w:fldChar w:fldCharType="end"/>
      </w:r>
      <w:r>
        <w:rPr>
          <w:rFonts w:hint="eastAsia" w:ascii="宋体" w:hAnsi="宋体" w:eastAsia="宋体" w:cs="宋体"/>
          <w:bCs/>
          <w:color w:val="auto"/>
          <w:sz w:val="32"/>
          <w:szCs w:val="52"/>
          <w:highlight w:val="none"/>
        </w:rPr>
        <w:fldChar w:fldCharType="end"/>
      </w:r>
    </w:p>
    <w:p w14:paraId="23A24C61">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_Toc10231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第四部分  评选办法</w:t>
      </w:r>
      <w:r>
        <w:rPr>
          <w:sz w:val="32"/>
          <w:szCs w:val="32"/>
        </w:rPr>
        <w:tab/>
      </w:r>
      <w:r>
        <w:rPr>
          <w:sz w:val="32"/>
          <w:szCs w:val="32"/>
        </w:rPr>
        <w:fldChar w:fldCharType="begin"/>
      </w:r>
      <w:r>
        <w:rPr>
          <w:sz w:val="32"/>
          <w:szCs w:val="32"/>
        </w:rPr>
        <w:instrText xml:space="preserve"> PAGEREF _Toc10231 \h </w:instrText>
      </w:r>
      <w:r>
        <w:rPr>
          <w:sz w:val="32"/>
          <w:szCs w:val="32"/>
        </w:rPr>
        <w:fldChar w:fldCharType="separate"/>
      </w:r>
      <w:r>
        <w:rPr>
          <w:sz w:val="32"/>
          <w:szCs w:val="32"/>
        </w:rPr>
        <w:t>19</w:t>
      </w:r>
      <w:r>
        <w:rPr>
          <w:sz w:val="32"/>
          <w:szCs w:val="32"/>
        </w:rPr>
        <w:fldChar w:fldCharType="end"/>
      </w:r>
      <w:r>
        <w:rPr>
          <w:rFonts w:hint="eastAsia" w:ascii="宋体" w:hAnsi="宋体" w:eastAsia="宋体" w:cs="宋体"/>
          <w:bCs/>
          <w:color w:val="auto"/>
          <w:sz w:val="32"/>
          <w:szCs w:val="52"/>
          <w:highlight w:val="none"/>
        </w:rPr>
        <w:fldChar w:fldCharType="end"/>
      </w:r>
    </w:p>
    <w:p w14:paraId="1167594D">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_Toc1675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第五部分  合同主要条款</w:t>
      </w:r>
      <w:r>
        <w:rPr>
          <w:sz w:val="32"/>
          <w:szCs w:val="32"/>
        </w:rPr>
        <w:tab/>
      </w:r>
      <w:r>
        <w:rPr>
          <w:sz w:val="32"/>
          <w:szCs w:val="32"/>
        </w:rPr>
        <w:fldChar w:fldCharType="begin"/>
      </w:r>
      <w:r>
        <w:rPr>
          <w:sz w:val="32"/>
          <w:szCs w:val="32"/>
        </w:rPr>
        <w:instrText xml:space="preserve"> PAGEREF _Toc1675 \h </w:instrText>
      </w:r>
      <w:r>
        <w:rPr>
          <w:sz w:val="32"/>
          <w:szCs w:val="32"/>
        </w:rPr>
        <w:fldChar w:fldCharType="separate"/>
      </w:r>
      <w:r>
        <w:rPr>
          <w:sz w:val="32"/>
          <w:szCs w:val="32"/>
        </w:rPr>
        <w:t>20</w:t>
      </w:r>
      <w:r>
        <w:rPr>
          <w:sz w:val="32"/>
          <w:szCs w:val="32"/>
        </w:rPr>
        <w:fldChar w:fldCharType="end"/>
      </w:r>
      <w:r>
        <w:rPr>
          <w:rFonts w:hint="eastAsia" w:ascii="宋体" w:hAnsi="宋体" w:eastAsia="宋体" w:cs="宋体"/>
          <w:bCs/>
          <w:color w:val="auto"/>
          <w:sz w:val="32"/>
          <w:szCs w:val="52"/>
          <w:highlight w:val="none"/>
        </w:rPr>
        <w:fldChar w:fldCharType="end"/>
      </w:r>
    </w:p>
    <w:p w14:paraId="486EFA60">
      <w:pPr>
        <w:pStyle w:val="14"/>
        <w:framePr w:h="7226" w:hRule="exact" w:wrap="around" w:vAnchor="page" w:hAnchor="page" w:x="1962" w:y="2027"/>
        <w:tabs>
          <w:tab w:val="right" w:leader="dot" w:pos="8400"/>
        </w:tabs>
        <w:spacing w:line="600" w:lineRule="auto"/>
        <w:rPr>
          <w:sz w:val="32"/>
          <w:szCs w:val="32"/>
        </w:rPr>
      </w:pPr>
      <w:r>
        <w:rPr>
          <w:rFonts w:hint="eastAsia" w:ascii="宋体" w:hAnsi="宋体" w:eastAsia="宋体" w:cs="宋体"/>
          <w:bCs/>
          <w:color w:val="auto"/>
          <w:sz w:val="32"/>
          <w:szCs w:val="52"/>
          <w:highlight w:val="none"/>
        </w:rPr>
        <w:fldChar w:fldCharType="begin"/>
      </w:r>
      <w:r>
        <w:rPr>
          <w:rFonts w:hint="eastAsia" w:ascii="宋体" w:hAnsi="宋体" w:eastAsia="宋体" w:cs="宋体"/>
          <w:bCs/>
          <w:sz w:val="32"/>
          <w:szCs w:val="52"/>
          <w:highlight w:val="none"/>
        </w:rPr>
        <w:instrText xml:space="preserve"> HYPERLINK \l _Toc1013 </w:instrText>
      </w:r>
      <w:r>
        <w:rPr>
          <w:rFonts w:hint="eastAsia" w:ascii="宋体" w:hAnsi="宋体" w:eastAsia="宋体" w:cs="宋体"/>
          <w:bCs/>
          <w:sz w:val="32"/>
          <w:szCs w:val="52"/>
          <w:highlight w:val="none"/>
        </w:rPr>
        <w:fldChar w:fldCharType="separate"/>
      </w:r>
      <w:r>
        <w:rPr>
          <w:rFonts w:hint="eastAsia" w:ascii="宋体" w:hAnsi="宋体" w:eastAsia="宋体" w:cs="宋体"/>
          <w:bCs/>
          <w:sz w:val="32"/>
          <w:szCs w:val="40"/>
          <w:highlight w:val="none"/>
          <w:lang w:val="en-US" w:eastAsia="zh-CN"/>
        </w:rPr>
        <w:t>第六部分  响应文件格式</w:t>
      </w:r>
      <w:r>
        <w:rPr>
          <w:sz w:val="32"/>
          <w:szCs w:val="32"/>
        </w:rPr>
        <w:tab/>
      </w:r>
      <w:r>
        <w:rPr>
          <w:sz w:val="32"/>
          <w:szCs w:val="32"/>
        </w:rPr>
        <w:fldChar w:fldCharType="begin"/>
      </w:r>
      <w:r>
        <w:rPr>
          <w:sz w:val="32"/>
          <w:szCs w:val="32"/>
        </w:rPr>
        <w:instrText xml:space="preserve"> PAGEREF _Toc1013 \h </w:instrText>
      </w:r>
      <w:r>
        <w:rPr>
          <w:sz w:val="32"/>
          <w:szCs w:val="32"/>
        </w:rPr>
        <w:fldChar w:fldCharType="separate"/>
      </w:r>
      <w:r>
        <w:rPr>
          <w:sz w:val="32"/>
          <w:szCs w:val="32"/>
        </w:rPr>
        <w:t>32</w:t>
      </w:r>
      <w:r>
        <w:rPr>
          <w:sz w:val="32"/>
          <w:szCs w:val="32"/>
        </w:rPr>
        <w:fldChar w:fldCharType="end"/>
      </w:r>
      <w:r>
        <w:rPr>
          <w:rFonts w:hint="eastAsia" w:ascii="宋体" w:hAnsi="宋体" w:eastAsia="宋体" w:cs="宋体"/>
          <w:bCs/>
          <w:color w:val="auto"/>
          <w:sz w:val="32"/>
          <w:szCs w:val="52"/>
          <w:highlight w:val="none"/>
        </w:rPr>
        <w:fldChar w:fldCharType="end"/>
      </w:r>
    </w:p>
    <w:p w14:paraId="59A85085">
      <w:pPr>
        <w:keepNext w:val="0"/>
        <w:keepLines w:val="0"/>
        <w:pageBreakBefore w:val="0"/>
        <w:framePr w:h="7226" w:hRule="exact" w:wrap="around" w:vAnchor="page" w:hAnchor="page" w:x="1962" w:y="2027"/>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auto"/>
          <w:sz w:val="52"/>
          <w:szCs w:val="52"/>
          <w:highlight w:val="none"/>
        </w:rPr>
      </w:pPr>
      <w:r>
        <w:rPr>
          <w:rFonts w:hint="eastAsia" w:ascii="宋体" w:hAnsi="宋体" w:eastAsia="宋体" w:cs="宋体"/>
          <w:bCs/>
          <w:color w:val="auto"/>
          <w:sz w:val="32"/>
          <w:szCs w:val="52"/>
          <w:highlight w:val="none"/>
        </w:rPr>
        <w:fldChar w:fldCharType="end"/>
      </w:r>
      <w:bookmarkStart w:id="27" w:name="_GoBack"/>
      <w:bookmarkEnd w:id="27"/>
    </w:p>
    <w:p w14:paraId="550C9C6A">
      <w:pPr>
        <w:pStyle w:val="14"/>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9783"/>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31806"/>
      <w:bookmarkStart w:id="3" w:name="_Toc229646710"/>
      <w:bookmarkStart w:id="4" w:name="_Toc16780"/>
      <w:bookmarkStart w:id="5" w:name="_Toc16761"/>
      <w:bookmarkStart w:id="6" w:name="_Toc152042304"/>
      <w:bookmarkStart w:id="7" w:name="_Toc21380"/>
      <w:bookmarkStart w:id="8" w:name="_Toc7164"/>
      <w:bookmarkStart w:id="9" w:name="_Toc392345907"/>
      <w:bookmarkStart w:id="10" w:name="_Toc500491903"/>
      <w:bookmarkStart w:id="11" w:name="_Toc144974496"/>
      <w:bookmarkStart w:id="12" w:name="_Toc152045528"/>
      <w:r>
        <w:rPr>
          <w:rFonts w:hint="eastAsia" w:ascii="宋体" w:hAnsi="宋体" w:eastAsia="宋体" w:cs="宋体"/>
          <w:color w:val="auto"/>
          <w:sz w:val="28"/>
          <w:szCs w:val="28"/>
          <w:highlight w:val="none"/>
          <w:u w:val="none" w:color="auto"/>
          <w:lang w:val="en-US" w:eastAsia="zh-CN"/>
        </w:rPr>
        <w:t>惠州志宏工程监理咨询有限公司（以下简称“采购代理机构”）受广东高丰建设工程有限公司（以下简称“采购人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）的委托，诚邀国内合格参选人就广东省惠州市惠东县稔山镇蟹洲海堤水闸重建工程（编号03号）劳务合作</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“项目”或“本项目”)（项目编号：ZHGC2024029-03）提交竞价申请文件：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承包人现场施工所需的劳务合作</w:t>
      </w:r>
    </w:p>
    <w:p w14:paraId="69D08C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2"/>
          <w:rFonts w:hint="eastAsia" w:ascii="宋体" w:hAnsi="宋体" w:eastAsia="宋体" w:cs="宋体"/>
          <w:i w:val="0"/>
          <w:iCs w:val="0"/>
          <w:caps w:val="0"/>
          <w:color w:val="auto"/>
          <w:spacing w:val="0"/>
          <w:sz w:val="28"/>
          <w:szCs w:val="28"/>
          <w:highlight w:val="none"/>
          <w:u w:val="none"/>
          <w:shd w:val="clear" w:fill="FFFFFF"/>
        </w:rPr>
        <w:t>三、</w:t>
      </w:r>
      <w:r>
        <w:rPr>
          <w:rStyle w:val="22"/>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2"/>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：2025年1月8日12:00。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名称：惠州志宏工程监理咨询有限公司</w:t>
      </w:r>
    </w:p>
    <w:p w14:paraId="2336CE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广东省惠州市惠城区江北文明一路三号中信城市时代1单元17层01号</w:t>
      </w:r>
    </w:p>
    <w:p w14:paraId="1B9EDF1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0752-2808860</w:t>
      </w:r>
    </w:p>
    <w:p w14:paraId="1CCED735">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采购代理机构：惠州志宏工程监理咨询有限公司</w:t>
      </w:r>
    </w:p>
    <w:p w14:paraId="37CCBE6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公告发布时间：2025年1月3日</w:t>
      </w:r>
    </w:p>
    <w:p w14:paraId="687C0335">
      <w:pPr>
        <w:framePr w:wrap="auto" w:vAnchor="margin" w:hAnchor="text" w:yAlign="inline"/>
        <w:rPr>
          <w:rFonts w:hint="eastAsia" w:ascii="宋体" w:hAnsi="宋体" w:eastAsia="宋体" w:cs="宋体"/>
          <w:b/>
          <w:bCs/>
          <w:color w:val="auto"/>
          <w:sz w:val="32"/>
          <w:szCs w:val="32"/>
          <w:highlight w:val="none"/>
          <w:lang w:val="zh-TW" w:eastAsia="zh-TW"/>
        </w:rPr>
      </w:pPr>
    </w:p>
    <w:p w14:paraId="7FB6C5C3">
      <w:pPr>
        <w:framePr w:wrap="auto" w:vAnchor="margin" w:hAnchor="text" w:yAlign="inline"/>
        <w:rPr>
          <w:rFonts w:hint="eastAsia" w:ascii="宋体" w:hAnsi="宋体" w:eastAsia="宋体" w:cs="宋体"/>
          <w:b/>
          <w:bCs/>
          <w:color w:val="auto"/>
          <w:sz w:val="32"/>
          <w:szCs w:val="32"/>
          <w:highlight w:val="none"/>
          <w:lang w:val="zh-TW" w:eastAsia="zh-TW"/>
        </w:rPr>
      </w:pPr>
      <w:bookmarkStart w:id="13" w:name="_Toc29038"/>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4" w:name="_Toc23739"/>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广东省惠州市惠东县稔山镇蟹洲海堤水闸重建工程（编号03号）劳务合作</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承包人现场施工所需的劳务合作</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5</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2025年1月8日12:00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本竞价文件的解释权归广东高丰建设工程有限公司、惠州志宏工程监理咨询有限公司。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广东省惠州市惠东县稔山镇蟹洲海堤水闸重建工程（编号03号）劳务合作</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ZHGC2024029-03</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采购代理机构：惠州志宏工程监理咨询有限公司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6D886196">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71FEE5D1">
      <w:pPr>
        <w:keepNext w:val="0"/>
        <w:keepLines/>
        <w:pageBreakBefore w:val="0"/>
        <w:framePr w:wrap="auto" w:vAnchor="margin" w:hAnchor="text" w:yAlign="inline"/>
        <w:widowControl/>
        <w:numPr>
          <w:ilvl w:val="0"/>
          <w:numId w:val="2"/>
        </w:numPr>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r>
        <w:rPr>
          <w:rFonts w:hint="eastAsia" w:ascii="宋体" w:hAnsi="宋体" w:eastAsia="宋体" w:cs="宋体"/>
          <w:b/>
          <w:bCs/>
          <w:color w:val="auto"/>
          <w:sz w:val="32"/>
          <w:szCs w:val="32"/>
          <w:highlight w:val="none"/>
          <w:lang w:val="zh-TW" w:eastAsia="zh-TW"/>
        </w:rPr>
        <w:t xml:space="preserve"> </w:t>
      </w:r>
      <w:bookmarkStart w:id="16" w:name="_Toc11382"/>
      <w:r>
        <w:rPr>
          <w:rFonts w:hint="eastAsia" w:ascii="宋体" w:hAnsi="宋体" w:eastAsia="宋体" w:cs="宋体"/>
          <w:b/>
          <w:bCs/>
          <w:color w:val="auto"/>
          <w:sz w:val="32"/>
          <w:szCs w:val="32"/>
          <w:highlight w:val="none"/>
          <w:lang w:val="en-US" w:eastAsia="zh-CN"/>
        </w:rPr>
        <w:t>工程量清单</w:t>
      </w:r>
      <w:bookmarkEnd w:id="15"/>
      <w:bookmarkEnd w:id="16"/>
    </w:p>
    <w:tbl>
      <w:tblPr>
        <w:tblStyle w:val="19"/>
        <w:tblW w:w="9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2"/>
        <w:gridCol w:w="2880"/>
        <w:gridCol w:w="631"/>
        <w:gridCol w:w="1096"/>
        <w:gridCol w:w="1179"/>
        <w:gridCol w:w="1614"/>
        <w:gridCol w:w="1179"/>
      </w:tblGrid>
      <w:tr w14:paraId="29FB0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9361" w:type="dxa"/>
            <w:gridSpan w:val="7"/>
            <w:tcBorders>
              <w:top w:val="nil"/>
              <w:left w:val="nil"/>
              <w:bottom w:val="nil"/>
              <w:right w:val="nil"/>
            </w:tcBorders>
            <w:noWrap/>
            <w:vAlign w:val="center"/>
          </w:tcPr>
          <w:p w14:paraId="2B8BD251">
            <w:pPr>
              <w:keepNext w:val="0"/>
              <w:keepLines w:val="0"/>
              <w:framePr w:wrap="auto" w:vAnchor="margin" w:hAnchor="text" w:yAlign="inline"/>
              <w:widowControl/>
              <w:suppressLineNumbers w:val="0"/>
              <w:jc w:val="center"/>
              <w:textAlignment w:val="center"/>
              <w:rPr>
                <w:rFonts w:ascii="仿宋" w:hAnsi="仿宋" w:eastAsia="仿宋" w:cs="仿宋"/>
                <w:i w:val="0"/>
                <w:iCs w:val="0"/>
                <w:color w:val="000000"/>
                <w:kern w:val="2"/>
                <w:sz w:val="44"/>
                <w:szCs w:val="44"/>
                <w:u w:val="none"/>
                <w:lang w:eastAsia="zh-CN"/>
              </w:rPr>
            </w:pPr>
            <w:r>
              <w:rPr>
                <w:rFonts w:hint="eastAsia" w:ascii="仿宋" w:hAnsi="仿宋" w:eastAsia="仿宋" w:cs="仿宋"/>
                <w:i w:val="0"/>
                <w:iCs w:val="0"/>
                <w:color w:val="000000"/>
                <w:kern w:val="0"/>
                <w:sz w:val="44"/>
                <w:szCs w:val="44"/>
                <w:u w:val="none"/>
                <w:lang w:val="en-US" w:eastAsia="zh-CN" w:bidi="ar"/>
              </w:rPr>
              <w:t>附件1：工程量清单</w:t>
            </w:r>
          </w:p>
        </w:tc>
      </w:tr>
      <w:tr w14:paraId="798D9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7"/>
            <w:tcBorders>
              <w:top w:val="nil"/>
              <w:left w:val="nil"/>
              <w:bottom w:val="nil"/>
              <w:right w:val="nil"/>
            </w:tcBorders>
            <w:noWrap/>
            <w:vAlign w:val="center"/>
          </w:tcPr>
          <w:p w14:paraId="194E93D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4"/>
                <w:szCs w:val="24"/>
                <w:u w:val="none"/>
                <w:lang w:eastAsia="zh-CN"/>
              </w:rPr>
            </w:pPr>
            <w:r>
              <w:rPr>
                <w:rFonts w:hint="eastAsia" w:ascii="仿宋" w:hAnsi="仿宋" w:eastAsia="仿宋" w:cs="仿宋"/>
                <w:i w:val="0"/>
                <w:iCs w:val="0"/>
                <w:color w:val="000000"/>
                <w:kern w:val="0"/>
                <w:sz w:val="24"/>
                <w:szCs w:val="24"/>
                <w:u w:val="none"/>
                <w:lang w:val="en-US" w:eastAsia="zh-CN" w:bidi="ar"/>
              </w:rPr>
              <w:t>工程名称：广东省惠州市惠东县稔山镇蟹洲海堤水闸重建工程</w:t>
            </w:r>
          </w:p>
        </w:tc>
      </w:tr>
      <w:tr w14:paraId="094A6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gridSpan w:val="7"/>
            <w:tcBorders>
              <w:top w:val="nil"/>
              <w:left w:val="nil"/>
              <w:bottom w:val="nil"/>
              <w:right w:val="nil"/>
            </w:tcBorders>
            <w:noWrap/>
            <w:vAlign w:val="center"/>
          </w:tcPr>
          <w:p w14:paraId="1334C67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4"/>
                <w:szCs w:val="24"/>
                <w:u w:val="none"/>
                <w:lang w:eastAsia="zh-CN"/>
              </w:rPr>
            </w:pPr>
            <w:r>
              <w:rPr>
                <w:rFonts w:hint="eastAsia" w:ascii="仿宋" w:hAnsi="仿宋" w:eastAsia="仿宋" w:cs="仿宋"/>
                <w:i w:val="0"/>
                <w:iCs w:val="0"/>
                <w:color w:val="000000"/>
                <w:kern w:val="0"/>
                <w:sz w:val="24"/>
                <w:szCs w:val="24"/>
                <w:u w:val="none"/>
                <w:lang w:val="en-US" w:eastAsia="zh-CN" w:bidi="ar"/>
              </w:rPr>
              <w:t xml:space="preserve">劳务单位： </w:t>
            </w:r>
          </w:p>
        </w:tc>
      </w:tr>
      <w:tr w14:paraId="5A7E3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6E419F2">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编号</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23D9028">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工程项目名称</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6A7118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1BBCEF1">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暂定数量</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8946A67">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不含税单价（元）</w:t>
            </w: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931D490">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不含税金额（元）</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B60F11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备注</w:t>
            </w:r>
          </w:p>
        </w:tc>
      </w:tr>
      <w:tr w14:paraId="7BB71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BAD8778">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80083F1">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4"/>
                <w:szCs w:val="24"/>
                <w:u w:val="none"/>
                <w:lang w:eastAsia="zh-CN"/>
              </w:rPr>
            </w:pPr>
            <w:r>
              <w:rPr>
                <w:rFonts w:hint="eastAsia" w:ascii="仿宋" w:hAnsi="仿宋" w:eastAsia="仿宋" w:cs="仿宋"/>
                <w:b/>
                <w:bCs/>
                <w:i w:val="0"/>
                <w:iCs w:val="0"/>
                <w:color w:val="000000"/>
                <w:kern w:val="0"/>
                <w:sz w:val="24"/>
                <w:szCs w:val="24"/>
                <w:u w:val="none"/>
                <w:lang w:val="en-US" w:eastAsia="zh-CN" w:bidi="ar"/>
              </w:rPr>
              <w:t>第一部分 建筑工程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E98D62D">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9270021">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7D58AA2">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FE20E05">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1364BBB">
            <w:pPr>
              <w:framePr w:wrap="auto" w:vAnchor="margin" w:hAnchor="text" w:yAlign="inline"/>
              <w:widowControl w:val="0"/>
              <w:jc w:val="center"/>
              <w:rPr>
                <w:rFonts w:hint="eastAsia" w:ascii="仿宋" w:hAnsi="仿宋" w:eastAsia="仿宋" w:cs="仿宋"/>
                <w:b/>
                <w:bCs/>
                <w:i w:val="0"/>
                <w:iCs w:val="0"/>
                <w:color w:val="000000"/>
                <w:kern w:val="2"/>
                <w:sz w:val="24"/>
                <w:szCs w:val="24"/>
                <w:u w:val="none"/>
                <w:lang w:eastAsia="zh-CN"/>
              </w:rPr>
            </w:pPr>
          </w:p>
        </w:tc>
      </w:tr>
      <w:tr w14:paraId="7B701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2023EC0">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1F7427A">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二)水闸水下部分</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A0583C0">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CF67228">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EB80E4B">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D0B326D">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83BBCBD">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r w14:paraId="4FDFF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6CA651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A1978B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C30砼底板（厚1600mm）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EB39A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A8333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3306.96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0604D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C38A20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F2330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8F8B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55AA23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78C2DC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C30砼闸墩</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B5755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91A06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2202.48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EA665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97ABCA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747C22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07C1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99FD7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6F3D58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C30砼空箱式岸墙</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1EB4EC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43E6F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883.02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2A9DD2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A26F67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8FE074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03F46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021433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3FFCD6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C20砼垫层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52F0EA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70E43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227.87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283A14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AC9A2E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4E3D41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48ED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37E68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96BD6F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水泥砂褥垫层（水泥含量10%）</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E2BDD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AF1F34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534.2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15821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45D4377">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3EE484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6AE4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151E37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2EE42F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364FD5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4F5CA0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594.84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08BAC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BDAF25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413F8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CD72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38B05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9E2EEB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钢模板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AC66F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92C25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4262.07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E29807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77C8599">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D4F26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0B56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458A6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EE6C87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BW闭孔泡沫板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B3881F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CBD0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845.5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BE5873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CA0859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58B31D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7243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D89872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69E726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铜片止水</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3F0BD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60A2F4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261.86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9504F4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5DAF35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4A131C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41CB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9A8CF3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53329D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回填砂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7100C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DDEB83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373.92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191A0D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71CAAD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098B9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095D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67E126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569E7E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C35二期砼</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9F52E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C5CB33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114.91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8C192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EBFAD7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AD114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01B7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164FAE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ACC5A5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单排脚手架</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CEECF6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A24B7F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3120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E2330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8057AB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AC4CCD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A300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5A5E3BA">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448219F">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三)水闸上部结构-闸上交通桥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DDFEA2A">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5D75EB6">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1C4066B">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5668E0C">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E9CE69F">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0963A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803A1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80158F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C50砼预应力空心板桥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694C10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41A10B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220.78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9AE53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9F6AD5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9065A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86B4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F73EE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B84881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预应力空心桥板钢筋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BE09A3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0A7843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43.6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E5C16E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3671FB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3EA42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6AF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95FBBB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640F87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空心板C40砼封头（厚500mm）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8A871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866C6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13.44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56ADB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2A98DF9">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CACD9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F66C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6B3D3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5EC0C2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C50现浇砼（厚100mm）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2DC229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6414B3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103.8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0B3F1D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B200C1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592FD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05E6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674D0D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E8F88C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整体化面层与铰缝钢筋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E78E6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33220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17.05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82E2FA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B4369B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EDEBB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705B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B3C666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BAAE72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C40砼铺装层厚80~150</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233A26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461CA0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739</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3DC628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0DF525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35D857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E55A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6D671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2F6660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防水层（M-1500水性水泥密封防水剂）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DC0E6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6DABD8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651.78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412B8C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8FD27D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DA0A24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098E3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4EE98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8AAABB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钢模板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02C96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F6995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40.57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D89FBC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8C06019">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BAC235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B22C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8462D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EF519F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87F0B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354E2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576.18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4E8776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62DF1E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E21DB1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0A80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5A1BF9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7B0BB1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防震锚栓Φ16钢筋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A8DCFE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8143E7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0.176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8DE2E2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695947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B108B6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8BE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6A6DE3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C05E9B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防震锚栓钢管（外径75.5mm，壁厚3.75mm）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235481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4C7B83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0.218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7755D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72D93B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72E44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C27B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FEBCF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CB16A0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填沥青麻絮</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6EC3A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7ACAE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1.44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CDE53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08D055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EA69F4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4EDC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598AF6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89ECAC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支座Q235钢板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628383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4698B9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3.82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09072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59A541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137AB1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E93F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52B1F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5D2106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矩形板式橡胶支座（GJZ200×200×42）</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A8AFA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dm3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AE400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3.763</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B5FA9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A7053F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685442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FB75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3C047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ED5645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C40垫石混凝土</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1C838D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3D2D9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3.87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6D98A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57E2A8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7A361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6168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FA61A6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85FA0B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支座钢筋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5F71B6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7D0900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4.77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84520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1295F5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BB94BE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BD9D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225295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989A08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桥面连续结构钢筋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45300C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BAE6F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2.86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E615B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C4AD69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37BB18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52EF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1FE4B5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65E24D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沥青玛蹄脂填料</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345085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E34D68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2FE47A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8524F4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6B64B8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1A73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5CB60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B28454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塑料薄膜(厚度0.5mm 宽度620mm)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34E76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31EE2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69.44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C34771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1493B3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AC9AD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F67C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11D54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58B589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TST（改性沥青）碎石</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701E0F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EF5AE6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0.81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584958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DCCAEF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0194E3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26F0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74BF8C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90AC2F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钢盖板(180×6)</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2DDFF5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C953CC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0.12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C85F3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E5F98D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AA2D5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0C9D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48A810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D394CD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M16膨胀螺栓</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F3D39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405D5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7C00C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DF4E6D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B9D8B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1122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DF111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09CD84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聚乙烯闭孔泡沫板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177F2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ACA6C4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855.15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BFF469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0E115DB">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A62DE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93C8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AF684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03BD69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100PVC排水管</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9E80D8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052FBA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110.4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1BE70F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F46898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5ABFA1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ACD9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461D5D7">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002CD3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四)水闸上部结构-检修桥及人行道</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588057E">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ACD4956">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74168AD">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119049C">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4177EA6">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06B9F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DFD098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713EE6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C30砼检修桥及人行道</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D8F15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3CA03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641.65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4AD60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EECB49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80F8A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4AAF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E2060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FEA4B6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C30砼供水管支座</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524F05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04D224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9.17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D005E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278324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96A4CD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CC0A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0EEC0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30BB26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DN300供水钢管（壁厚8mm）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C65944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0D5B53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F00EC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1362F8B">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21A121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01BBE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7D3FC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C643F0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C30预制砼盖板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4A8163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EFCA5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9.17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3B7D5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3C02E7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F47FB5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A6C5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6A73E7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C5299D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28C73C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FA956E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90.25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563174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9D5BC87">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7114F8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D83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62B935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15A950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钢模板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3039D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ADB6BD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1963.75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1EA04A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ED1208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247B18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E2F9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F7059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F9F882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钢格栅盖板(G505/30/50WSG)</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4397E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0F13D2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F6EF75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250876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52765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07BE2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8317D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714B00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满堂红手脚架（6.6m高）</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DA14FB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04D34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802.65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DA2632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C91DAF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E9D43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2E0A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84077CE">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3AE0A62">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六)下游消能设施</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3AABB5B">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492CC23">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4950700">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3EECB04">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25845D6">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A873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B7F2E7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F303E2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级配碎石垫层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52EF8B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2744C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1311.19</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66CD2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0CB141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89DD4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7E6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A8FF9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B7D4C6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砂垫层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52EAD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E27B97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1165.74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E4BE5C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887B9A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920044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1258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E6A08FB">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FB8DB64">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七）上下游左岸U槽</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6939496">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7B5F48C">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AC0969B">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58DEA72">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F65FB2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02847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C99A2D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25044C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中粗砂回填</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38563D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A4AE7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344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B4FB68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FD6D5F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DAEF4D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9680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74CE2A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373BB5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C30砼悬壁式挡墙厚600mm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03321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60F1A0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376.82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03208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97F118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FCADE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6DE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396129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63F847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C30砼底板1000mm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51545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0522C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731.76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96124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DD8339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CE7B3F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2B60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DBD56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5FD303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C30砼悬壁式挡墙厚1200mm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5054DB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749C0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845.47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35F08D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500443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DD3619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1AB6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67411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5C5232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C30砼底板1500mm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93A64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0A886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953.11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B19A70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2A5E77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0BAABB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7C26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B2D763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02F20B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C20砼垫层100mm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B4D064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46415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129.85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3482F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AB6921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076A97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B8A1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0DE0D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191A08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水泥砂褥垫层厚300</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D213DA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7CF3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219.32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275A0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27CA3C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871B7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6B66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E6FF4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4828C7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花岗岩栏杆</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EE7B4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6AF3C6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390.32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0D1E17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979F19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6279D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3EA9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B354A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907A19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不锈钢栏杆</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CE8A25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FB91DF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11.98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809371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0FCB0E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713FE6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5C0C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58D1A5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6FFED1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E5E18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D822BB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224.26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31AFD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DCEC95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69F428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34B1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621101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BD8920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钢模板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0A96B9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9C93A0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3157.24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858A38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C83471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A11DA8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E259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6D7FD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66FA1B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BW闭孔泡沫板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1D6831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383F60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198.83</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FDD531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426F6C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E9708B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BD18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306326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B4C0CC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铜片止水</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59488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C252CA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172.2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79A5D5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37B4C5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1EC5C4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E27F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FBB5CD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9301B3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φ50PVC排水管</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EE4E4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61DB6C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301.2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41F364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9AA41D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BBBD79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34DE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3582F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6B3728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土工反滤包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BA8B85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D61249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1FB113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E55161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B07FF4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9DEF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CA4A5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DFB695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60厚透水砖</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E1D5E5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7C485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1886.68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876F5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59D8A7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850CE4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BCCF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48F377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22675A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150厚水泥砂稳层（6%）</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04DCFD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D05A96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271.15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08FB2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463087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F21ADF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15F8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7E5FF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DD0DCD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150厚砂碎石垫层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920498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E75CB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271.15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D4EC1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6D49E0E">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CFCA19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FBC3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107EA4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7409F7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C30砼预制路缘石（500×450×200）</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19FEDE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1D859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374.67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DF2C7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1A649E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681713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147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9F4F0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AA4CBF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单排脚手架高4.2~9m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324AE0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D8D10A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1887.41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E61FB4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D7520E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B790F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E753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88547B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A14EAD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草皮护坡</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66DD50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5E98F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997.36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A19216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ADF58A7">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D83A27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CF27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C740E1C">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4B3B7EC">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十二)地基处理</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AAFC42F">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5F647C2">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D010580">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DA28DFD">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60645F5">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128B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C4B4AD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E3310B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φ600水泥搅拌桩空桩</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745DDB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3F20B3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57597.03</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7AE49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FAE936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F54434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9ED3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3BB66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AD54C9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φ600水泥搅拌桩</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E20327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F97069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85373.77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2ED59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335467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9FADF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8D27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FEEED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D14418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充填沥青胶(牌号60号以上的建筑石油沥清)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25B26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B6A0A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307.438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E37B1E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E3F7D7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7C4B18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EE43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94AE09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97FE08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C30砼压顶厚100</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8EC81C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8D1336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26.13</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6897E5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62EBB1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44C2BF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27F10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6CA51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573F0A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模板（压顶）</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C57B2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5EE39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61.48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A342F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86150D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F95F6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684B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86F9FC8">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1F196EE">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十三)左、右岸衔接道路</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48F3D7E">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8150EDA">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BB02013">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CBD9AE0">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149A05F">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17ABD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944B7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B407D5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200mm厚6%水泥稳定碎石基层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A9381D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194ECF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302.88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10E75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5535C79">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3EA2FA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1546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A9317A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D8C67C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100mm厚级配碎石底基层</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C0449F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25FF9E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151.44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524748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713B5A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C1795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ACF7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B97D3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F59DF9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C30现浇砼路肩（500*250*450mm）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F8944D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F8DD6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35.21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846C99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750EB2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B6416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21E6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91C9837">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734A94F">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第四部分 施工临时工程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BA98AC0">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9248CDD">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3FA10B3">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B592F79">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7A2B788">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7A5F7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218B3EA">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F4FD197">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一 导流工程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D974688">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FE377E1">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965BC9E">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5520688">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D5A4767">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80C1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3430A53">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B8358F4">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二）二期施工导流及围堰工程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A3B82EF">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6DCE0B0">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236451C">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EB24CF2">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117AAFE">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152DC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6A4475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E40045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膜袋混凝土护坡厚250mm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510E63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5C514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1161</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CB5F80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742269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4D899F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40188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7D059E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62394C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6%水泥石屑厚200mm</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9BC99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CAF35C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206</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BEE865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5AF2D2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7767E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1A258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00FE868">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827B058">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二 施工交通工程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353776A">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0D17CF5">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C606B79">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BF01624">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8C3E043">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r w14:paraId="4DBE3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B6CC8E8">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237B87B">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二)施工临时钢便桥工程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2585B12">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AF83F8C">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7CCBF5B">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3BABEAA">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0683203">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r w14:paraId="778B9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FB8E8D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F796B1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C30墙身混凝土</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06FDB2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3CBF13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107</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2D594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7D0D1D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C6BD2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53FE9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BE496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BF9EAC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钢模板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AAB6AF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65F9E8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772940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3D0239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77856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3E35F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C21B8B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697A51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F881B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t</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9A4178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270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84F8D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F26DFE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6F53A9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7401D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7C435B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B398847">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20cm厚3～4%水泥稳定级配碎石</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43A6B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m3</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6B0854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143</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C90B35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1491FB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9CFBAC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按施工图要求完成本项工作任务</w:t>
            </w:r>
          </w:p>
        </w:tc>
      </w:tr>
      <w:tr w14:paraId="666C0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12E7E77">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8428520">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借工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77042E8">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DE937DD">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EB911C7">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27DF3BD">
            <w:pPr>
              <w:framePr w:wrap="auto" w:vAnchor="margin" w:hAnchor="text" w:yAlign="inline"/>
              <w:widowControl w:val="0"/>
              <w:jc w:val="right"/>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62C0F54">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1F98D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8FD686C">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FB84A8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大工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A09024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工日</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34D1E2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67E66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292233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4698D6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按实际发生签认派工单</w:t>
            </w:r>
          </w:p>
        </w:tc>
      </w:tr>
      <w:tr w14:paraId="389A0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6C926D6">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4F75D0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小工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ABA644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工日</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C81FF9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461CE1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66D059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C87A1A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按实际发生签认派工单</w:t>
            </w:r>
          </w:p>
        </w:tc>
      </w:tr>
      <w:tr w14:paraId="50A10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44BDAA7">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8A69266">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十 安全生产措施费</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F3D904E">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9769495">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C151ECB">
            <w:pPr>
              <w:framePr w:wrap="auto" w:vAnchor="margin" w:hAnchor="text" w:yAlign="inline"/>
              <w:widowControl w:val="0"/>
              <w:jc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AFF62A6">
            <w:pPr>
              <w:framePr w:wrap="auto" w:vAnchor="margin" w:hAnchor="text" w:yAlign="inline"/>
              <w:widowControl w:val="0"/>
              <w:jc w:val="right"/>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FB01DC5">
            <w:pPr>
              <w:framePr w:wrap="auto" w:vAnchor="margin" w:hAnchor="text" w:yAlign="inline"/>
              <w:widowControl w:val="0"/>
              <w:jc w:val="center"/>
              <w:rPr>
                <w:rFonts w:hint="eastAsia" w:ascii="仿宋" w:hAnsi="仿宋" w:eastAsia="仿宋" w:cs="仿宋"/>
                <w:b/>
                <w:bCs/>
                <w:i w:val="0"/>
                <w:iCs w:val="0"/>
                <w:color w:val="000000"/>
                <w:kern w:val="2"/>
                <w:sz w:val="16"/>
                <w:szCs w:val="16"/>
                <w:u w:val="none"/>
                <w:lang w:eastAsia="zh-CN"/>
              </w:rPr>
            </w:pPr>
          </w:p>
        </w:tc>
      </w:tr>
      <w:tr w14:paraId="7840A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76B95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489565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临边、洞口、基坑安全护围</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6A13AA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1B6D9B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036F9D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4659A6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09C3A9E">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A0E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EE773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5CCEBFE">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基坑作业楼梯通道</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D7A6E6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处</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3815E0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ED7E4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C1432E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C13702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029C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AB3791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14AE05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交通指导疏导</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DEEC2C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月</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43277B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88C61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E4A7BD9">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7B06D6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16"/>
                <w:szCs w:val="16"/>
                <w:u w:val="none"/>
                <w:lang w:eastAsia="zh-CN"/>
              </w:rPr>
            </w:pPr>
            <w:r>
              <w:rPr>
                <w:rFonts w:hint="eastAsia" w:ascii="仿宋" w:hAnsi="仿宋" w:eastAsia="仿宋" w:cs="仿宋"/>
                <w:i w:val="0"/>
                <w:iCs w:val="0"/>
                <w:color w:val="000000"/>
                <w:kern w:val="0"/>
                <w:sz w:val="16"/>
                <w:szCs w:val="16"/>
                <w:u w:val="none"/>
                <w:lang w:val="en-US" w:eastAsia="zh-CN" w:bidi="ar"/>
              </w:rPr>
              <w:t>交通指挥不少于两人；以实际发生月计算，不足1月按天计，每天单价以合同价除以30天计算。</w:t>
            </w:r>
          </w:p>
        </w:tc>
      </w:tr>
      <w:tr w14:paraId="1F377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948710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ECB169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自动喷淋除尘系统</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02F6F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8BE36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960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E40EE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03DB70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EF59534">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612E9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E31C1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0941C2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裸土盖绿网</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4A3EE6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9619DC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50000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A79ED3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E301F2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965AB06">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F6FB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CC55F0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063A07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营地办公室、宿舍临时板房、围挡、设备、设施防台风加固措施</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672B4F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7BB32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4078</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6A61E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BF6BE5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EB053C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71E93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DCE899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B05B99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施工标志牌安装(包括人工开挖基础）</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A87F1C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B547B1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3F3C5C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DF9D86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9B0C9AE">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7D394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F64AF6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77481F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安全警示牌安装(包括人工开挖基础）</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4EC9DE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146D15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DFCF09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9340DD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E6E9467">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D428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2B7708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769544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安全宣传栏3m*3m安装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340D4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3E7D7F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C08BCD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57EBC8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1B7B8E9">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0FE6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4B1034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F69A6D8">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不锈钢标志牌安装(包括人工开挖基础）</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D0009B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16975C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FA1F9E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0EE6F5D">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847C843">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054B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A27EAD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DED235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2m高铁皮围挡安装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BD6935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9FC56F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880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1E0CCE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5A19EA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69A853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BCA9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90AAE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7EB6DC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安全生产宣传标语（布条，含字）安装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DA1A17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6A508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D274F4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01321B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F96FAB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73C1D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9DF44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31743B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安全生产展板（合成树脂板）安装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3EC806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A67595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A9ABD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6A54DC7">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EFF8FEB">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C1FD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251F16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D72260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临时高低配电箱、变压器配安全防护栏安装(包括基础）</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5D916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B25F3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60.2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18241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49EFAD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CA0C9D3">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31FA5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2F11F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25A6C2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临时低压配电总箱安全防护棚安装(包括基础）</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36555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3B0173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B2C540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C3C000A">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8B185F8">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3804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CD17FF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E21C0C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钢筋加工棚安装（包括立柱、框架焊接，铁皮屋面安装等）</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29550C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D58F56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487712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FB1657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82EC9D7">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66F1F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FFCD73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76CBB6C">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木工加工棚安装（包括立柱、框架焊接，铁皮屋面安装等）</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A364E6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m2</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21A77B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60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72C817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BAB220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76CBF30">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71AF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18817F8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38AEA7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配电箱及支架（安装）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71CA52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3E007B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6C787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5E1E10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F899D0E">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7518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91074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2A064B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漏电保护开关（安装）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8FB7D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FBFFF2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B6901B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95C758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EB05EEE">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33C1E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05A3F8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CF56A20">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隔离开关（安装）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532FB1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C833A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542894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290FFD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8C60B20">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35333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CD9247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ED6B7DF">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断路器（安装）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95C155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F14BC9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B9F5F5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7A021A2">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430718D">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8DBA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AE2B81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680406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浪涌保护开关（安装）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0A85C0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7E7087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D0AFE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ED063B3">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D5E2341">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3A1DA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0A1D0C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FCD97E4">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警示灯（安装）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2F4192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ACF57A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0E77AE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B694C8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BB59043">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5BED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6D31C3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3B6F375">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减速带（安装）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006988E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0E3696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1DDC8A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DB91F95">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01092C6">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310A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4C3DD00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3B083AB6">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限高杆（安装）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A0FDF8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57D01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4</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6DB8A4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8ED9EF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AF55104">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3A637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E655D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01A0CE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太阳能LED灯组（安装）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5628F98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53542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8B81FD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E602FB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29ECA55">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3B59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369BE55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449E7BB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太阳能爆闪灯（安装）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3E2A84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CB8B392">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BC0D4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2FD187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D498000">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66A8B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75944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28</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64AFB8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电线（安装、改装）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33393D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8C427F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8000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0B1744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0DE7A0D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5F5716A">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2342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ED9B00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29</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0061837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电缆（安装、改装）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7B169BE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A89455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885D08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061FA1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76391A0C">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21DE2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6302976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C38433A">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防雷接地、重复接地</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E4A3DB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处</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178B20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D141F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BBAB10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B80C0D4">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CA70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BDFA2D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31</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35BC983">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USB安全充电插座（安装）</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0398E7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套</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F5A16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50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C69AB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0B3BB2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0131046B">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70E17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874E4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32</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135620E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临时电缆过路防护（钢管或钢板）</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9B318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处</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16B2903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46BB82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1C3F798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2B9E90F7">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65432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279785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33</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657FF6F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围堰、基坑安全巡视（包括平常每天巡查及大雨、台风等异常天气后加强巡查）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119741D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月</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377E8AA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12</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1D66B6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79F1C8CC">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0021117">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4CE7B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02D5FAC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34</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5899E259">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临时安全围蔽设施（栅栏、铁马、反光锥、雪糕桶等）</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622A8A3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E6ADC5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1000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5276C8F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AE22B6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BD69595">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E44D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770EB80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35</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2F72D771">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计时工（1.应急备用电源、应急照明灯具、应急水泵、应急电缆等维护保养费</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2.应急演练）</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2A97992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工日</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834A8F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7584C06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5C6DDD88">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64C11A71">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5A96C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5DBCE32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36</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A3A966B">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计时工（配合各级检查发现的安全隐患整改费用）</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48C999A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工日</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8CB478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2E8B6B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DCB95B1">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599A84E">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0AB36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2" w:type="dxa"/>
            <w:tcBorders>
              <w:top w:val="single" w:color="000000" w:sz="4" w:space="0"/>
              <w:left w:val="single" w:color="000000" w:sz="4" w:space="0"/>
              <w:bottom w:val="single" w:color="000000" w:sz="4" w:space="0"/>
              <w:right w:val="single" w:color="000000" w:sz="4" w:space="0"/>
            </w:tcBorders>
            <w:noWrap w:val="0"/>
            <w:vAlign w:val="center"/>
          </w:tcPr>
          <w:p w14:paraId="222EBB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37</w:t>
            </w:r>
          </w:p>
        </w:tc>
        <w:tc>
          <w:tcPr>
            <w:tcW w:w="2880" w:type="dxa"/>
            <w:tcBorders>
              <w:top w:val="single" w:color="000000" w:sz="4" w:space="0"/>
              <w:left w:val="single" w:color="000000" w:sz="4" w:space="0"/>
              <w:bottom w:val="single" w:color="000000" w:sz="4" w:space="0"/>
              <w:right w:val="single" w:color="000000" w:sz="4" w:space="0"/>
            </w:tcBorders>
            <w:noWrap w:val="0"/>
            <w:vAlign w:val="center"/>
          </w:tcPr>
          <w:p w14:paraId="7764CB6D">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计时工（配合各类、各级安全生产检查）</w:t>
            </w:r>
          </w:p>
        </w:tc>
        <w:tc>
          <w:tcPr>
            <w:tcW w:w="631" w:type="dxa"/>
            <w:tcBorders>
              <w:top w:val="single" w:color="000000" w:sz="4" w:space="0"/>
              <w:left w:val="single" w:color="000000" w:sz="4" w:space="0"/>
              <w:bottom w:val="single" w:color="000000" w:sz="4" w:space="0"/>
              <w:right w:val="single" w:color="000000" w:sz="4" w:space="0"/>
            </w:tcBorders>
            <w:noWrap w:val="0"/>
            <w:vAlign w:val="center"/>
          </w:tcPr>
          <w:p w14:paraId="3DE1F08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工日</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60A7493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r>
              <w:rPr>
                <w:rFonts w:hint="eastAsia" w:ascii="仿宋" w:hAnsi="仿宋" w:eastAsia="仿宋" w:cs="仿宋"/>
                <w:i w:val="0"/>
                <w:iCs w:val="0"/>
                <w:color w:val="000000"/>
                <w:kern w:val="0"/>
                <w:sz w:val="22"/>
                <w:szCs w:val="22"/>
                <w:u w:val="none"/>
                <w:lang w:val="en-US" w:eastAsia="zh-CN" w:bidi="ar"/>
              </w:rPr>
              <w:t>200</w:t>
            </w:r>
          </w:p>
        </w:tc>
        <w:tc>
          <w:tcPr>
            <w:tcW w:w="1179" w:type="dxa"/>
            <w:tcBorders>
              <w:top w:val="single" w:color="000000" w:sz="4" w:space="0"/>
              <w:left w:val="single" w:color="000000" w:sz="4" w:space="0"/>
              <w:bottom w:val="single" w:color="000000" w:sz="4" w:space="0"/>
              <w:right w:val="single" w:color="000000" w:sz="4" w:space="0"/>
            </w:tcBorders>
            <w:noWrap w:val="0"/>
            <w:vAlign w:val="center"/>
          </w:tcPr>
          <w:p w14:paraId="02F4283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kern w:val="2"/>
                <w:sz w:val="22"/>
                <w:szCs w:val="22"/>
                <w:u w:val="none"/>
                <w:lang w:eastAsia="zh-CN"/>
              </w:rPr>
            </w:pP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6AA26A7F">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FCDA8C1">
            <w:pPr>
              <w:framePr w:wrap="auto" w:vAnchor="margin" w:hAnchor="text" w:yAlign="inline"/>
              <w:widowControl w:val="0"/>
              <w:jc w:val="center"/>
              <w:rPr>
                <w:rFonts w:hint="eastAsia" w:ascii="仿宋" w:hAnsi="仿宋" w:eastAsia="仿宋" w:cs="仿宋"/>
                <w:i w:val="0"/>
                <w:iCs w:val="0"/>
                <w:color w:val="000000"/>
                <w:kern w:val="2"/>
                <w:sz w:val="16"/>
                <w:szCs w:val="16"/>
                <w:u w:val="none"/>
                <w:lang w:eastAsia="zh-CN"/>
              </w:rPr>
            </w:pPr>
          </w:p>
        </w:tc>
      </w:tr>
      <w:tr w14:paraId="1C16B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465" w:type="dxa"/>
            <w:gridSpan w:val="5"/>
            <w:tcBorders>
              <w:top w:val="single" w:color="000000" w:sz="4" w:space="0"/>
              <w:left w:val="single" w:color="000000" w:sz="4" w:space="0"/>
              <w:bottom w:val="single" w:color="000000" w:sz="4" w:space="0"/>
              <w:right w:val="single" w:color="000000" w:sz="4" w:space="0"/>
            </w:tcBorders>
            <w:noWrap w:val="0"/>
            <w:vAlign w:val="center"/>
          </w:tcPr>
          <w:p w14:paraId="37DBC27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不含增值税总价</w:t>
            </w: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3513B150">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F0AD4B2">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r w14:paraId="22FF0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465" w:type="dxa"/>
            <w:gridSpan w:val="5"/>
            <w:tcBorders>
              <w:top w:val="single" w:color="000000" w:sz="4" w:space="0"/>
              <w:left w:val="single" w:color="000000" w:sz="4" w:space="0"/>
              <w:bottom w:val="single" w:color="000000" w:sz="4" w:space="0"/>
              <w:right w:val="single" w:color="000000" w:sz="4" w:space="0"/>
            </w:tcBorders>
            <w:noWrap w:val="0"/>
            <w:vAlign w:val="center"/>
          </w:tcPr>
          <w:p w14:paraId="6CE1E8C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2"/>
                <w:szCs w:val="22"/>
                <w:u w:val="none"/>
                <w:lang w:eastAsia="zh-CN"/>
              </w:rPr>
            </w:pPr>
            <w:r>
              <w:rPr>
                <w:rStyle w:val="55"/>
                <w:kern w:val="2"/>
                <w:lang w:val="en-US" w:eastAsia="zh-CN" w:bidi="ar"/>
              </w:rPr>
              <w:t>增值税</w:t>
            </w:r>
            <w:r>
              <w:rPr>
                <w:rFonts w:hint="eastAsia" w:ascii="仿宋" w:hAnsi="仿宋" w:eastAsia="仿宋" w:cs="仿宋"/>
                <w:b/>
                <w:bCs/>
                <w:color w:val="000000"/>
                <w:kern w:val="2"/>
                <w:sz w:val="22"/>
                <w:szCs w:val="22"/>
                <w:u w:val="single"/>
                <w:lang w:val="en-US" w:eastAsia="zh-CN" w:bidi="ar"/>
              </w:rPr>
              <w:t xml:space="preserve">    </w:t>
            </w:r>
            <w:r>
              <w:rPr>
                <w:rStyle w:val="55"/>
                <w:kern w:val="2"/>
                <w:lang w:val="en-US" w:eastAsia="zh-CN" w:bidi="ar"/>
              </w:rPr>
              <w:t>%</w:t>
            </w: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209799B8">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000000"/>
                <w:kern w:val="2"/>
                <w:sz w:val="22"/>
                <w:szCs w:val="22"/>
                <w:u w:val="none"/>
                <w:lang w:eastAsia="zh-CN"/>
              </w:rPr>
            </w:pPr>
          </w:p>
        </w:tc>
        <w:tc>
          <w:tcPr>
            <w:tcW w:w="1282" w:type="dxa"/>
            <w:tcBorders>
              <w:top w:val="single" w:color="000000" w:sz="4" w:space="0"/>
              <w:left w:val="single" w:color="000000" w:sz="4" w:space="0"/>
              <w:bottom w:val="single" w:color="000000" w:sz="4" w:space="0"/>
              <w:right w:val="single" w:color="000000" w:sz="4" w:space="0"/>
            </w:tcBorders>
            <w:noWrap w:val="0"/>
            <w:vAlign w:val="center"/>
          </w:tcPr>
          <w:p w14:paraId="54C6328B">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r w14:paraId="35DC9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465" w:type="dxa"/>
            <w:gridSpan w:val="5"/>
            <w:tcBorders>
              <w:top w:val="single" w:color="000000" w:sz="4" w:space="0"/>
              <w:left w:val="single" w:color="000000" w:sz="4" w:space="0"/>
              <w:bottom w:val="single" w:color="000000" w:sz="4" w:space="0"/>
              <w:right w:val="single" w:color="000000" w:sz="4" w:space="0"/>
            </w:tcBorders>
            <w:noWrap w:val="0"/>
            <w:vAlign w:val="center"/>
          </w:tcPr>
          <w:p w14:paraId="7B3AF394">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kern w:val="2"/>
                <w:sz w:val="22"/>
                <w:szCs w:val="22"/>
                <w:u w:val="none"/>
                <w:lang w:eastAsia="zh-CN"/>
              </w:rPr>
            </w:pPr>
            <w:r>
              <w:rPr>
                <w:rFonts w:hint="eastAsia" w:ascii="仿宋" w:hAnsi="仿宋" w:eastAsia="仿宋" w:cs="仿宋"/>
                <w:b/>
                <w:bCs/>
                <w:i w:val="0"/>
                <w:iCs w:val="0"/>
                <w:color w:val="000000"/>
                <w:kern w:val="0"/>
                <w:sz w:val="22"/>
                <w:szCs w:val="22"/>
                <w:u w:val="none"/>
                <w:lang w:val="en-US" w:eastAsia="zh-CN" w:bidi="ar"/>
              </w:rPr>
              <w:t>含增值税总价</w:t>
            </w:r>
          </w:p>
        </w:tc>
        <w:tc>
          <w:tcPr>
            <w:tcW w:w="1614" w:type="dxa"/>
            <w:tcBorders>
              <w:top w:val="single" w:color="000000" w:sz="4" w:space="0"/>
              <w:left w:val="single" w:color="000000" w:sz="4" w:space="0"/>
              <w:bottom w:val="single" w:color="000000" w:sz="4" w:space="0"/>
              <w:right w:val="single" w:color="000000" w:sz="4" w:space="0"/>
            </w:tcBorders>
            <w:noWrap w:val="0"/>
            <w:vAlign w:val="center"/>
          </w:tcPr>
          <w:p w14:paraId="43FA22FA">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000000"/>
                <w:kern w:val="2"/>
                <w:sz w:val="22"/>
                <w:szCs w:val="22"/>
                <w:u w:val="none"/>
                <w:lang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62E113">
            <w:pPr>
              <w:framePr w:wrap="auto" w:vAnchor="margin" w:hAnchor="text" w:yAlign="inline"/>
              <w:widowControl w:val="0"/>
              <w:jc w:val="center"/>
              <w:rPr>
                <w:rFonts w:hint="eastAsia" w:ascii="仿宋" w:hAnsi="仿宋" w:eastAsia="仿宋" w:cs="仿宋"/>
                <w:b/>
                <w:bCs/>
                <w:i w:val="0"/>
                <w:iCs w:val="0"/>
                <w:color w:val="000000"/>
                <w:kern w:val="2"/>
                <w:sz w:val="22"/>
                <w:szCs w:val="22"/>
                <w:u w:val="none"/>
                <w:lang w:eastAsia="zh-CN"/>
              </w:rPr>
            </w:pPr>
          </w:p>
        </w:tc>
      </w:tr>
    </w:tbl>
    <w:p w14:paraId="654F262D">
      <w:pPr>
        <w:framePr w:wrap="auto" w:vAnchor="margin" w:hAnchor="text" w:yAlign="inline"/>
        <w:rPr>
          <w:rFonts w:hint="eastAsia" w:ascii="宋体" w:hAnsi="宋体" w:eastAsia="宋体" w:cs="宋体"/>
          <w:color w:val="auto"/>
          <w:sz w:val="20"/>
          <w:szCs w:val="20"/>
          <w:highlight w:val="none"/>
          <w:lang w:eastAsia="zh-CN"/>
        </w:rPr>
      </w:pP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698"/>
      <w:bookmarkStart w:id="18" w:name="_Toc10231"/>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30DB63C0">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1675"/>
      <w:bookmarkStart w:id="20" w:name="_Toc25557"/>
      <w:r>
        <w:rPr>
          <w:rFonts w:hint="eastAsia" w:ascii="宋体" w:hAnsi="宋体" w:eastAsia="宋体" w:cs="宋体"/>
          <w:b/>
          <w:bCs/>
          <w:color w:val="auto"/>
          <w:sz w:val="32"/>
          <w:szCs w:val="32"/>
          <w:highlight w:val="none"/>
          <w:lang w:val="en-US" w:eastAsia="zh-CN"/>
        </w:rPr>
        <w:t>第五部分  合同主要条款</w:t>
      </w:r>
      <w:bookmarkEnd w:id="19"/>
      <w:bookmarkEnd w:id="20"/>
    </w:p>
    <w:p w14:paraId="71121330">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eastAsia="zh-CN"/>
        </w:rPr>
      </w:pPr>
      <w:bookmarkStart w:id="21" w:name="_Toc16641"/>
      <w:r>
        <w:rPr>
          <w:rFonts w:hint="eastAsia" w:ascii="仿宋" w:hAnsi="仿宋" w:eastAsia="仿宋" w:cs="Times New Roman"/>
          <w:color w:val="auto"/>
          <w:kern w:val="2"/>
          <w:sz w:val="24"/>
          <w:highlight w:val="none"/>
          <w:lang w:eastAsia="zh-CN"/>
        </w:rPr>
        <w:t>工程项目：</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 xml:space="preserve"> </w:t>
      </w:r>
    </w:p>
    <w:p w14:paraId="5946F418">
      <w:pPr>
        <w:framePr w:wrap="auto" w:vAnchor="margin" w:hAnchor="text" w:yAlign="inline"/>
        <w:widowControl w:val="0"/>
        <w:spacing w:line="360" w:lineRule="auto"/>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甲方 ：</w:t>
      </w:r>
      <w:r>
        <w:rPr>
          <w:rFonts w:hint="eastAsia" w:ascii="仿宋" w:hAnsi="仿宋" w:eastAsia="仿宋" w:cs="Times New Roman"/>
          <w:color w:val="auto"/>
          <w:kern w:val="2"/>
          <w:sz w:val="24"/>
          <w:highlight w:val="none"/>
          <w:u w:val="single"/>
          <w:lang w:val="en-US" w:eastAsia="zh-CN"/>
        </w:rPr>
        <w:t xml:space="preserve">                                </w:t>
      </w:r>
    </w:p>
    <w:p w14:paraId="0DD653BD">
      <w:pPr>
        <w:framePr w:wrap="auto" w:vAnchor="margin" w:hAnchor="text" w:yAlign="inline"/>
        <w:widowControl w:val="0"/>
        <w:spacing w:line="360" w:lineRule="auto"/>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乙方：</w:t>
      </w:r>
      <w:r>
        <w:rPr>
          <w:rFonts w:hint="eastAsia" w:ascii="仿宋" w:hAnsi="仿宋" w:eastAsia="仿宋" w:cs="Times New Roman"/>
          <w:color w:val="auto"/>
          <w:kern w:val="2"/>
          <w:sz w:val="24"/>
          <w:highlight w:val="none"/>
          <w:u w:val="single"/>
          <w:lang w:val="en-US" w:eastAsia="zh-CN"/>
        </w:rPr>
        <w:t xml:space="preserve">                                </w:t>
      </w:r>
    </w:p>
    <w:p w14:paraId="5C7E6145">
      <w:pPr>
        <w:framePr w:wrap="auto" w:vAnchor="margin" w:hAnchor="text" w:yAlign="inline"/>
        <w:widowControl w:val="0"/>
        <w:spacing w:line="360" w:lineRule="auto"/>
        <w:ind w:firstLine="480" w:firstLineChars="200"/>
        <w:jc w:val="both"/>
        <w:rPr>
          <w:rFonts w:hint="eastAsia" w:ascii="仿宋" w:hAnsi="仿宋" w:eastAsia="仿宋" w:cs="Times New Roman"/>
          <w:b/>
          <w:color w:val="auto"/>
          <w:kern w:val="2"/>
          <w:sz w:val="24"/>
          <w:highlight w:val="none"/>
          <w:lang w:eastAsia="zh-CN"/>
        </w:rPr>
      </w:pPr>
      <w:r>
        <w:rPr>
          <w:rFonts w:hint="eastAsia" w:ascii="仿宋" w:hAnsi="仿宋" w:eastAsia="仿宋" w:cs="Times New Roman"/>
          <w:color w:val="auto"/>
          <w:kern w:val="2"/>
          <w:sz w:val="24"/>
          <w:highlight w:val="none"/>
          <w:lang w:eastAsia="zh-CN"/>
        </w:rPr>
        <w:t>依照《中华人民共和国民法典》及其它有关法律、行政法规、规章，遵循平等、自愿、公平和诚实信用的原则，双方就劳务合作事项协商达成一致，订立本合同。</w:t>
      </w:r>
    </w:p>
    <w:p w14:paraId="6426FCC4">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1.工程名称、地点和劳务内容</w:t>
      </w:r>
    </w:p>
    <w:p w14:paraId="135D5AC4">
      <w:pPr>
        <w:framePr w:wrap="auto" w:vAnchor="margin" w:hAnchor="text" w:yAlign="inline"/>
        <w:widowControl w:val="0"/>
        <w:tabs>
          <w:tab w:val="left" w:pos="0"/>
        </w:tabs>
        <w:spacing w:line="360" w:lineRule="auto"/>
        <w:ind w:firstLine="480" w:firstLineChars="200"/>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1.1 工程名称：</w:t>
      </w:r>
      <w:r>
        <w:rPr>
          <w:rFonts w:hint="eastAsia" w:ascii="仿宋" w:hAnsi="仿宋" w:eastAsia="仿宋" w:cs="Times New Roman"/>
          <w:color w:val="auto"/>
          <w:kern w:val="2"/>
          <w:sz w:val="24"/>
          <w:highlight w:val="none"/>
          <w:u w:val="single"/>
          <w:lang w:val="en-US" w:eastAsia="zh-CN"/>
        </w:rPr>
        <w:t xml:space="preserve">             </w:t>
      </w:r>
    </w:p>
    <w:p w14:paraId="1AE2D26A">
      <w:pPr>
        <w:framePr w:wrap="auto" w:vAnchor="margin" w:hAnchor="text" w:yAlign="inline"/>
        <w:widowControl w:val="0"/>
        <w:tabs>
          <w:tab w:val="left" w:pos="0"/>
        </w:tabs>
        <w:spacing w:line="360" w:lineRule="auto"/>
        <w:ind w:firstLine="480" w:firstLineChars="200"/>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1.2 工程地点和范围：</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none"/>
          <w:lang w:val="en-US" w:eastAsia="zh-CN"/>
        </w:rPr>
        <w:t xml:space="preserve"> </w:t>
      </w:r>
    </w:p>
    <w:p w14:paraId="5B62142F">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u w:val="single"/>
          <w:lang w:eastAsia="zh-CN"/>
        </w:rPr>
      </w:pPr>
      <w:r>
        <w:rPr>
          <w:rFonts w:hint="eastAsia" w:ascii="仿宋" w:hAnsi="仿宋" w:eastAsia="仿宋" w:cs="Times New Roman"/>
          <w:color w:val="auto"/>
          <w:kern w:val="2"/>
          <w:sz w:val="24"/>
          <w:highlight w:val="none"/>
          <w:lang w:eastAsia="zh-CN"/>
        </w:rPr>
        <w:t>1.3劳务内容和方式：</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p>
    <w:p w14:paraId="75DAEEEE">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1.3.1 负责完成</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。具体工程数量见附件一《工程量清单》，清单数量为暂定数量，实际数量按业主批复内实际完成数量且经甲乙双方确认的结算数量为准。</w:t>
      </w:r>
    </w:p>
    <w:p w14:paraId="4949560B">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1.3.2 乙方负责按本合同约定范围内除甲方负责外的一切劳务施工作业。包括但不限于从进场施工准备、施工全过程到完工交验，缺陷责任期内属乙方缺陷责任的缺陷修复到竣工验收所需的全部施工工作。</w:t>
      </w:r>
    </w:p>
    <w:p w14:paraId="1FC29DC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1.3.3 乙方不得以任何形式对本合同工程进行分包、转包。</w:t>
      </w:r>
    </w:p>
    <w:p w14:paraId="3D563947">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1.4 劳务人员数量根据工程需要安排进场。</w:t>
      </w:r>
    </w:p>
    <w:p w14:paraId="049D1591">
      <w:pPr>
        <w:framePr w:wrap="auto" w:vAnchor="margin" w:hAnchor="text" w:yAlign="inline"/>
        <w:widowControl w:val="0"/>
        <w:tabs>
          <w:tab w:val="left" w:pos="0"/>
        </w:tabs>
        <w:spacing w:line="360" w:lineRule="auto"/>
        <w:ind w:firstLine="482"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2.合同价格</w:t>
      </w:r>
    </w:p>
    <w:p w14:paraId="614967B7">
      <w:pPr>
        <w:framePr w:wrap="auto" w:vAnchor="margin" w:hAnchor="text" w:yAlign="inline"/>
        <w:widowControl w:val="0"/>
        <w:autoSpaceDE w:val="0"/>
        <w:autoSpaceDN w:val="0"/>
        <w:adjustRightInd w:val="0"/>
        <w:spacing w:line="360" w:lineRule="auto"/>
        <w:ind w:firstLine="480" w:firstLineChars="200"/>
        <w:jc w:val="both"/>
        <w:rPr>
          <w:rFonts w:hint="eastAsia" w:ascii="仿宋" w:hAnsi="仿宋" w:eastAsia="仿宋" w:cs="仿宋"/>
          <w:b/>
          <w:bCs w:val="0"/>
          <w:color w:val="auto"/>
          <w:kern w:val="2"/>
          <w:sz w:val="24"/>
          <w:highlight w:val="none"/>
          <w:lang w:eastAsia="zh-CN"/>
        </w:rPr>
      </w:pPr>
      <w:r>
        <w:rPr>
          <w:rFonts w:hint="eastAsia" w:ascii="仿宋" w:hAnsi="仿宋" w:eastAsia="仿宋" w:cs="Times New Roman"/>
          <w:color w:val="auto"/>
          <w:kern w:val="2"/>
          <w:sz w:val="24"/>
          <w:highlight w:val="none"/>
          <w:lang w:eastAsia="zh-CN"/>
        </w:rPr>
        <w:t xml:space="preserve">2.1 </w:t>
      </w:r>
      <w:r>
        <w:rPr>
          <w:rFonts w:hint="eastAsia" w:ascii="仿宋" w:hAnsi="仿宋" w:eastAsia="仿宋" w:cs="Times New Roman"/>
          <w:b w:val="0"/>
          <w:bCs/>
          <w:color w:val="auto"/>
          <w:kern w:val="2"/>
          <w:sz w:val="24"/>
          <w:highlight w:val="none"/>
          <w:lang w:eastAsia="zh-CN"/>
        </w:rPr>
        <w:t>合同的暂定含税总价为人民币</w:t>
      </w:r>
      <w:r>
        <w:rPr>
          <w:rFonts w:hint="eastAsia" w:ascii="仿宋" w:hAnsi="仿宋" w:eastAsia="仿宋" w:cs="Times New Roman"/>
          <w:b w:val="0"/>
          <w:bCs w:val="0"/>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lang w:eastAsia="zh-CN"/>
        </w:rPr>
        <w:t>元（大写：</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lang w:eastAsia="zh-CN"/>
        </w:rPr>
        <w:t>），其中不含增值税总价</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u w:val="single"/>
          <w:lang w:eastAsia="zh-CN"/>
        </w:rPr>
        <w:t xml:space="preserve"> </w:t>
      </w:r>
      <w:r>
        <w:rPr>
          <w:rFonts w:hint="eastAsia" w:ascii="仿宋" w:hAnsi="仿宋" w:eastAsia="仿宋" w:cs="Times New Roman"/>
          <w:b w:val="0"/>
          <w:bCs/>
          <w:color w:val="auto"/>
          <w:kern w:val="2"/>
          <w:sz w:val="24"/>
          <w:highlight w:val="none"/>
          <w:lang w:eastAsia="zh-CN"/>
        </w:rPr>
        <w:t>元（大写：</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lang w:eastAsia="zh-CN"/>
        </w:rPr>
        <w:t>），增值税</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u w:val="single"/>
          <w:lang w:eastAsia="zh-CN"/>
        </w:rPr>
        <w:t xml:space="preserve"> </w:t>
      </w:r>
      <w:r>
        <w:rPr>
          <w:rFonts w:hint="eastAsia" w:ascii="仿宋" w:hAnsi="仿宋" w:eastAsia="仿宋" w:cs="Times New Roman"/>
          <w:b w:val="0"/>
          <w:bCs/>
          <w:color w:val="auto"/>
          <w:kern w:val="2"/>
          <w:sz w:val="24"/>
          <w:highlight w:val="none"/>
          <w:lang w:eastAsia="zh-CN"/>
        </w:rPr>
        <w:t>元（大写：</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lang w:eastAsia="zh-CN"/>
        </w:rPr>
        <w:t>）。本合同综合单价以本合同附件一《工程量清单》为准，其中增值税按不含增值税总价的</w:t>
      </w:r>
      <w:r>
        <w:rPr>
          <w:rFonts w:hint="eastAsia" w:ascii="仿宋" w:hAnsi="仿宋" w:eastAsia="仿宋" w:cs="Times New Roman"/>
          <w:b w:val="0"/>
          <w:bCs/>
          <w:color w:val="auto"/>
          <w:kern w:val="2"/>
          <w:sz w:val="24"/>
          <w:highlight w:val="none"/>
          <w:u w:val="single"/>
          <w:lang w:val="en-US" w:eastAsia="zh-CN"/>
        </w:rPr>
        <w:t xml:space="preserve">   </w:t>
      </w:r>
      <w:r>
        <w:rPr>
          <w:rFonts w:hint="eastAsia" w:ascii="仿宋" w:hAnsi="仿宋" w:eastAsia="仿宋" w:cs="Times New Roman"/>
          <w:b w:val="0"/>
          <w:bCs/>
          <w:color w:val="auto"/>
          <w:kern w:val="2"/>
          <w:sz w:val="24"/>
          <w:highlight w:val="none"/>
          <w:u w:val="single"/>
          <w:lang w:eastAsia="zh-CN"/>
        </w:rPr>
        <w:t>%</w:t>
      </w:r>
      <w:r>
        <w:rPr>
          <w:rFonts w:hint="eastAsia" w:ascii="仿宋" w:hAnsi="仿宋" w:eastAsia="仿宋" w:cs="Times New Roman"/>
          <w:b w:val="0"/>
          <w:bCs/>
          <w:color w:val="auto"/>
          <w:kern w:val="2"/>
          <w:sz w:val="24"/>
          <w:highlight w:val="none"/>
          <w:lang w:eastAsia="zh-CN"/>
        </w:rPr>
        <w:t>单列（增值税税率随国家政策和适用税率同步调整）；</w:t>
      </w:r>
      <w:r>
        <w:rPr>
          <w:rFonts w:hint="eastAsia" w:ascii="仿宋" w:hAnsi="仿宋" w:eastAsia="仿宋" w:cs="仿宋"/>
          <w:b w:val="0"/>
          <w:bCs/>
          <w:color w:val="auto"/>
          <w:kern w:val="2"/>
          <w:sz w:val="24"/>
          <w:highlight w:val="none"/>
          <w:lang w:eastAsia="zh-CN"/>
        </w:rPr>
        <w:t>本合同暂定总价不作为双方最终结算的依据。</w:t>
      </w:r>
      <w:r>
        <w:rPr>
          <w:rFonts w:hint="eastAsia" w:ascii="仿宋" w:hAnsi="仿宋" w:eastAsia="仿宋" w:cs="仿宋"/>
          <w:b/>
          <w:bCs w:val="0"/>
          <w:color w:val="auto"/>
          <w:kern w:val="2"/>
          <w:sz w:val="24"/>
          <w:highlight w:val="none"/>
          <w:lang w:eastAsia="zh-CN"/>
        </w:rPr>
        <w:t>结算工程量按实际发生的每月得到甲方签认计量的工程量为准。中间计量及最终结算应</w:t>
      </w:r>
      <w:r>
        <w:rPr>
          <w:rFonts w:hint="eastAsia" w:ascii="仿宋" w:hAnsi="仿宋" w:eastAsia="仿宋" w:cs="仿宋"/>
          <w:b/>
          <w:bCs w:val="0"/>
          <w:color w:val="auto"/>
          <w:kern w:val="2"/>
          <w:sz w:val="24"/>
          <w:highlight w:val="none"/>
          <w:lang w:val="en-US" w:eastAsia="zh-CN"/>
        </w:rPr>
        <w:t>由</w:t>
      </w:r>
      <w:r>
        <w:rPr>
          <w:rFonts w:hint="eastAsia" w:ascii="仿宋" w:hAnsi="仿宋" w:eastAsia="仿宋" w:cs="仿宋"/>
          <w:b/>
          <w:bCs w:val="0"/>
          <w:color w:val="auto"/>
          <w:kern w:val="2"/>
          <w:sz w:val="24"/>
          <w:highlight w:val="none"/>
          <w:lang w:eastAsia="zh-CN"/>
        </w:rPr>
        <w:t>项目部的专职员</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（身份证号：</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签字确认</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附</w:t>
      </w:r>
      <w:r>
        <w:rPr>
          <w:rFonts w:hint="eastAsia" w:ascii="仿宋" w:hAnsi="仿宋" w:eastAsia="仿宋" w:cs="仿宋"/>
          <w:b/>
          <w:bCs w:val="0"/>
          <w:color w:val="auto"/>
          <w:kern w:val="2"/>
          <w:sz w:val="24"/>
          <w:highlight w:val="none"/>
          <w:lang w:eastAsia="zh-CN"/>
        </w:rPr>
        <w:t>项目经理签字并加盖项目部章，非上述人员签字盖章的，甲方不予认可。</w:t>
      </w:r>
    </w:p>
    <w:p w14:paraId="32FF1837">
      <w:pPr>
        <w:framePr w:wrap="auto" w:vAnchor="margin" w:hAnchor="text" w:yAlign="inline"/>
        <w:widowControl w:val="0"/>
        <w:adjustRightInd w:val="0"/>
        <w:snapToGrid w:val="0"/>
        <w:spacing w:line="360" w:lineRule="auto"/>
        <w:ind w:firstLine="480" w:firstLineChars="200"/>
        <w:jc w:val="both"/>
        <w:rPr>
          <w:rFonts w:ascii="仿宋" w:hAnsi="仿宋" w:eastAsia="仿宋" w:cs="Times New Roman"/>
          <w:b w:val="0"/>
          <w:color w:val="auto"/>
          <w:kern w:val="2"/>
          <w:sz w:val="24"/>
          <w:highlight w:val="none"/>
          <w:lang w:eastAsia="zh-CN"/>
        </w:rPr>
      </w:pPr>
      <w:r>
        <w:rPr>
          <w:rFonts w:hint="eastAsia" w:ascii="仿宋" w:hAnsi="仿宋" w:eastAsia="仿宋" w:cs="Times New Roman"/>
          <w:color w:val="auto"/>
          <w:kern w:val="2"/>
          <w:sz w:val="24"/>
          <w:highlight w:val="none"/>
          <w:lang w:eastAsia="zh-CN"/>
        </w:rPr>
        <w:t>2.2</w:t>
      </w:r>
      <w:r>
        <w:rPr>
          <w:rFonts w:hint="eastAsia" w:ascii="仿宋" w:hAnsi="仿宋" w:eastAsia="仿宋" w:cs="Times New Roman"/>
          <w:b w:val="0"/>
          <w:bCs/>
          <w:color w:val="auto"/>
          <w:kern w:val="2"/>
          <w:sz w:val="24"/>
          <w:highlight w:val="none"/>
          <w:lang w:eastAsia="zh-CN"/>
        </w:rPr>
        <w:t>本合同清单综合单价包括：</w:t>
      </w:r>
      <w:r>
        <w:rPr>
          <w:rFonts w:ascii="仿宋" w:hAnsi="仿宋" w:eastAsia="仿宋" w:cs="Times New Roman"/>
          <w:b w:val="0"/>
          <w:bCs/>
          <w:color w:val="auto"/>
          <w:kern w:val="2"/>
          <w:sz w:val="24"/>
          <w:highlight w:val="none"/>
          <w:lang w:eastAsia="zh-CN"/>
        </w:rPr>
        <w:t>人工费、辅助材料、管理费</w:t>
      </w:r>
      <w:r>
        <w:rPr>
          <w:rFonts w:hint="eastAsia" w:ascii="仿宋" w:hAnsi="仿宋" w:eastAsia="仿宋" w:cs="Times New Roman"/>
          <w:b w:val="0"/>
          <w:bCs/>
          <w:color w:val="auto"/>
          <w:kern w:val="2"/>
          <w:sz w:val="24"/>
          <w:highlight w:val="none"/>
          <w:lang w:eastAsia="zh-CN"/>
        </w:rPr>
        <w:t>、</w:t>
      </w:r>
      <w:r>
        <w:rPr>
          <w:rFonts w:hint="eastAsia" w:ascii="仿宋" w:hAnsi="仿宋" w:eastAsia="仿宋" w:cs="Times New Roman"/>
          <w:b w:val="0"/>
          <w:bCs w:val="0"/>
          <w:color w:val="auto"/>
          <w:kern w:val="2"/>
          <w:sz w:val="24"/>
          <w:highlight w:val="none"/>
          <w:lang w:eastAsia="zh-CN"/>
        </w:rPr>
        <w:t>利润、除增值税以外的一切税费（包括但不限于为实施本合同应缴纳的企业所得税、个人所得税、印花税、资源税 、城市维护建设税、教育费附加、地方教育附加、堤围防护费等），以及</w:t>
      </w:r>
      <w:r>
        <w:rPr>
          <w:rFonts w:hint="eastAsia" w:ascii="仿宋" w:hAnsi="仿宋" w:eastAsia="仿宋" w:cs="Times New Roman"/>
          <w:b w:val="0"/>
          <w:bCs w:val="0"/>
          <w:color w:val="auto"/>
          <w:kern w:val="2"/>
          <w:sz w:val="24"/>
          <w:highlight w:val="none"/>
          <w:u w:val="wave"/>
          <w:lang w:eastAsia="zh-CN"/>
        </w:rPr>
        <w:t>[</w:t>
      </w:r>
      <w:r>
        <w:rPr>
          <w:rFonts w:hint="eastAsia" w:ascii="仿宋" w:hAnsi="仿宋" w:eastAsia="仿宋" w:cs="Times New Roman"/>
          <w:b w:val="0"/>
          <w:bCs w:val="0"/>
          <w:color w:val="auto"/>
          <w:kern w:val="2"/>
          <w:sz w:val="24"/>
          <w:highlight w:val="none"/>
          <w:u w:val="none"/>
          <w:lang w:eastAsia="zh-CN"/>
        </w:rPr>
        <w:t>施工点安全维护、保证自身人员安全设施的费用</w:t>
      </w:r>
      <w:r>
        <w:rPr>
          <w:rFonts w:hint="eastAsia" w:ascii="仿宋" w:hAnsi="仿宋" w:eastAsia="仿宋" w:cs="Times New Roman"/>
          <w:b w:val="0"/>
          <w:bCs w:val="0"/>
          <w:color w:val="auto"/>
          <w:kern w:val="2"/>
          <w:sz w:val="24"/>
          <w:highlight w:val="none"/>
          <w:u w:val="wave"/>
          <w:lang w:eastAsia="zh-CN"/>
        </w:rPr>
        <w:t>]</w:t>
      </w:r>
      <w:r>
        <w:rPr>
          <w:rFonts w:hint="eastAsia" w:ascii="仿宋" w:hAnsi="仿宋" w:eastAsia="仿宋" w:cs="Times New Roman"/>
          <w:b w:val="0"/>
          <w:bCs/>
          <w:color w:val="auto"/>
          <w:kern w:val="2"/>
          <w:sz w:val="24"/>
          <w:highlight w:val="none"/>
          <w:lang w:eastAsia="zh-CN"/>
        </w:rPr>
        <w:t>（以清单内容为准）。</w:t>
      </w:r>
    </w:p>
    <w:p w14:paraId="7E13E87F">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本合同综合单价已经充分考虑了各种可能影响正常施工的因素以及市场风险，除甲乙双方协商一致签订书面变更协议外，本合同综合单价不因任何原因而调整。</w:t>
      </w:r>
    </w:p>
    <w:p w14:paraId="3A961E62">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 因工程变更导致新的工程项目出现时，变更部分工程的综合单价按以下原则确定：</w:t>
      </w:r>
    </w:p>
    <w:p w14:paraId="5F67C1D6">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2.3.1 变更工程项目在附件一《工程量清单》中有相对应项目的，套用《工程量清单》中相应项目的综合单价执行。</w:t>
      </w:r>
    </w:p>
    <w:p w14:paraId="3BDC0384">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2.3.2 变更工程项目在附件一《工程量清单》中没有相对应项目的，以经双方确认的该项目的成本加合理的利润、税金作为综合单价。</w:t>
      </w:r>
    </w:p>
    <w:p w14:paraId="2C1C9450">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2.3.3 当乙方在甲方要求下实施合同清单外的项目即变更工程或者本合同实际施工的数量已经超过合同清单数量时，甲乙双方必须在当月将本月实际完成数量书面确认，双方应签订补充协议。</w:t>
      </w:r>
    </w:p>
    <w:p w14:paraId="25FEEC06">
      <w:pPr>
        <w:framePr w:wrap="auto" w:vAnchor="margin" w:hAnchor="text" w:yAlign="inline"/>
        <w:widowControl w:val="0"/>
        <w:spacing w:line="360" w:lineRule="auto"/>
        <w:ind w:firstLine="482" w:firstLineChars="200"/>
        <w:jc w:val="both"/>
        <w:rPr>
          <w:rFonts w:hint="eastAsia" w:ascii="仿宋" w:hAnsi="仿宋" w:eastAsia="仿宋" w:cs="Times New Roman"/>
          <w:b/>
          <w:color w:val="auto"/>
          <w:spacing w:val="-8"/>
          <w:kern w:val="2"/>
          <w:sz w:val="24"/>
          <w:highlight w:val="none"/>
          <w:lang w:eastAsia="zh-CN"/>
        </w:rPr>
      </w:pPr>
      <w:r>
        <w:rPr>
          <w:rFonts w:hint="eastAsia" w:ascii="仿宋" w:hAnsi="仿宋" w:eastAsia="仿宋" w:cs="Times New Roman"/>
          <w:b/>
          <w:color w:val="auto"/>
          <w:kern w:val="2"/>
          <w:sz w:val="24"/>
          <w:highlight w:val="none"/>
          <w:lang w:eastAsia="zh-CN"/>
        </w:rPr>
        <w:t>3.</w:t>
      </w:r>
      <w:r>
        <w:rPr>
          <w:rFonts w:hint="eastAsia" w:ascii="仿宋" w:hAnsi="仿宋" w:eastAsia="仿宋" w:cs="Times New Roman"/>
          <w:b/>
          <w:color w:val="auto"/>
          <w:spacing w:val="-8"/>
          <w:kern w:val="2"/>
          <w:sz w:val="24"/>
          <w:highlight w:val="none"/>
          <w:lang w:eastAsia="zh-CN"/>
        </w:rPr>
        <w:t>双方责任</w:t>
      </w:r>
    </w:p>
    <w:p w14:paraId="43483EE7">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3.1甲方责任</w:t>
      </w:r>
    </w:p>
    <w:p w14:paraId="2F6671E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3.1.1为加强对乙方劳务人员的组织与管理，甲方成立现场管理机构</w:t>
      </w:r>
      <w:r>
        <w:rPr>
          <w:rFonts w:hint="eastAsia" w:ascii="仿宋" w:hAnsi="仿宋" w:eastAsia="仿宋" w:cs="Times New Roman"/>
          <w:color w:val="auto"/>
          <w:kern w:val="10"/>
          <w:sz w:val="24"/>
          <w:highlight w:val="none"/>
          <w:u w:val="single"/>
          <w:lang w:eastAsia="zh-CN"/>
        </w:rPr>
        <w:t xml:space="preserve"> </w:t>
      </w:r>
      <w:r>
        <w:rPr>
          <w:rFonts w:hint="eastAsia" w:ascii="仿宋" w:hAnsi="仿宋" w:eastAsia="仿宋" w:cs="Times New Roman"/>
          <w:color w:val="auto"/>
          <w:kern w:val="10"/>
          <w:sz w:val="24"/>
          <w:highlight w:val="none"/>
          <w:u w:val="single"/>
          <w:lang w:val="en-US" w:eastAsia="zh-CN"/>
        </w:rPr>
        <w:t xml:space="preserve">  </w:t>
      </w:r>
      <w:r>
        <w:rPr>
          <w:rFonts w:hint="eastAsia" w:ascii="仿宋" w:hAnsi="仿宋" w:eastAsia="仿宋" w:cs="Times New Roman"/>
          <w:color w:val="auto"/>
          <w:kern w:val="10"/>
          <w:sz w:val="24"/>
          <w:highlight w:val="none"/>
          <w:u w:val="single"/>
          <w:lang w:eastAsia="zh-CN"/>
        </w:rPr>
        <w:t xml:space="preserve"> </w:t>
      </w:r>
      <w:r>
        <w:rPr>
          <w:rFonts w:hint="eastAsia" w:ascii="仿宋" w:hAnsi="仿宋" w:eastAsia="仿宋" w:cs="Times New Roman"/>
          <w:color w:val="auto"/>
          <w:kern w:val="2"/>
          <w:sz w:val="24"/>
          <w:highlight w:val="none"/>
          <w:lang w:eastAsia="zh-CN"/>
        </w:rPr>
        <w:t>项目部，对工程施工全过程实施全面监控管理。</w:t>
      </w:r>
    </w:p>
    <w:p w14:paraId="00CFC0A9">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3.1.2负责编制实施性施工组织设计，负责施工测量和技术管理。</w:t>
      </w:r>
    </w:p>
    <w:p w14:paraId="43AD28B1">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3.1.3按施工组织设计及时供应材料和提供机械设备，满足工程进度的需要。</w:t>
      </w:r>
    </w:p>
    <w:p w14:paraId="6A52C6A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3.1.4负责在施工前对乙方劳务人员进行安全</w:t>
      </w:r>
      <w:r>
        <w:rPr>
          <w:rFonts w:hint="eastAsia" w:ascii="仿宋" w:hAnsi="仿宋" w:eastAsia="仿宋" w:cs="宋体"/>
          <w:color w:val="auto"/>
          <w:kern w:val="2"/>
          <w:sz w:val="24"/>
          <w:highlight w:val="none"/>
          <w:lang w:eastAsia="zh-CN"/>
        </w:rPr>
        <w:t>教育、应急技能培训、安全</w:t>
      </w:r>
      <w:r>
        <w:rPr>
          <w:rFonts w:hint="eastAsia" w:ascii="仿宋" w:hAnsi="仿宋" w:eastAsia="仿宋" w:cs="Times New Roman"/>
          <w:color w:val="auto"/>
          <w:kern w:val="2"/>
          <w:sz w:val="24"/>
          <w:highlight w:val="none"/>
          <w:lang w:eastAsia="zh-CN"/>
        </w:rPr>
        <w:t>技术交底，让乙方劳务人员熟练掌握有关操作规程和操作技术。</w:t>
      </w:r>
    </w:p>
    <w:p w14:paraId="57AF91C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3.1.5编制施工进度计划，人员、材料、设备等进场计划，并组织乙方劳务人员按规定程序进行劳务作业。</w:t>
      </w:r>
    </w:p>
    <w:p w14:paraId="2505FD82">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3.1.6负责原材料、设备、构配件、半成品的检验和试验。</w:t>
      </w:r>
    </w:p>
    <w:p w14:paraId="0B73E4C4">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3.1.7对乙方安排的劳务人员进行岗前专业培训，并记录教育培训档案。</w:t>
      </w:r>
    </w:p>
    <w:p w14:paraId="78EFA4B9">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3.1.8监督乙方劳务人员进行文明施工、安全生产，保证作业现场施工安全。</w:t>
      </w:r>
    </w:p>
    <w:p w14:paraId="6BDA1918">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3.1.9负责办理征地拆迁以及本</w:t>
      </w:r>
      <w:r>
        <w:rPr>
          <w:rFonts w:hint="eastAsia" w:ascii="仿宋" w:hAnsi="仿宋" w:eastAsia="仿宋" w:cs="Times New Roman"/>
          <w:color w:val="auto"/>
          <w:kern w:val="2"/>
          <w:sz w:val="24"/>
          <w:highlight w:val="none"/>
          <w:lang w:val="en-US" w:eastAsia="zh-CN"/>
        </w:rPr>
        <w:t>合同</w:t>
      </w:r>
      <w:r>
        <w:rPr>
          <w:rFonts w:hint="eastAsia" w:ascii="仿宋" w:hAnsi="仿宋" w:eastAsia="仿宋" w:cs="Times New Roman"/>
          <w:color w:val="auto"/>
          <w:kern w:val="2"/>
          <w:sz w:val="24"/>
          <w:highlight w:val="none"/>
          <w:lang w:eastAsia="zh-CN"/>
        </w:rPr>
        <w:t>作业项目的道路、用电、用水，以满足施工需要。</w:t>
      </w:r>
    </w:p>
    <w:p w14:paraId="29B60022">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3.1.10甲方负责对每道工序的质量进行检验，乙方完成每道工序须由甲方工程技术人员检验认可，否则乙方不能进入下一道工序的劳务作业。</w:t>
      </w:r>
    </w:p>
    <w:p w14:paraId="0352EDF1">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3.1.11对已完劳务作业项目组织验收，负责工程资料的收集和汇总并按协议规定办理劳务费用结算。</w:t>
      </w:r>
    </w:p>
    <w:p w14:paraId="4BF35D84">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3.2乙方责任</w:t>
      </w:r>
    </w:p>
    <w:p w14:paraId="0D574F17">
      <w:pPr>
        <w:framePr w:wrap="auto" w:vAnchor="margin" w:hAnchor="text" w:yAlign="inline"/>
        <w:widowControl w:val="0"/>
        <w:spacing w:line="360" w:lineRule="auto"/>
        <w:ind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 xml:space="preserve">3.2.1按甲方要求安排符合施工需要的劳务作业人员。乙方必须安排与之有劳动合同关系的劳务作业人员，未签订劳动合同的不得进入施工现场从事劳务作业活动。 </w:t>
      </w:r>
    </w:p>
    <w:p w14:paraId="7F790088">
      <w:pPr>
        <w:framePr w:wrap="auto" w:vAnchor="margin" w:hAnchor="text" w:yAlign="inline"/>
        <w:widowControl w:val="0"/>
        <w:spacing w:line="360" w:lineRule="auto"/>
        <w:ind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3.2.2乙方必须自费为其在本工程雇用的劳务人员办理意外险、工伤保险及社会劳动保险等。详见本合同第10条保险条款。</w:t>
      </w:r>
    </w:p>
    <w:p w14:paraId="64ABD2E7">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3.2.3乙方应派出现场负责人协助甲方对劳务人员进行劳务作业管理。</w:t>
      </w:r>
    </w:p>
    <w:p w14:paraId="30B7575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3.2.4乙方劳务人员应按甲方劳务培训计划参加相关工法、操作规程的学习，严格按规定程序进行劳务作业。</w:t>
      </w:r>
    </w:p>
    <w:p w14:paraId="1692B29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3.2.5乙方</w:t>
      </w:r>
      <w:r>
        <w:rPr>
          <w:rFonts w:hint="eastAsia" w:ascii="仿宋" w:hAnsi="仿宋" w:eastAsia="仿宋" w:cs="Arial"/>
          <w:color w:val="auto"/>
          <w:kern w:val="2"/>
          <w:sz w:val="24"/>
          <w:highlight w:val="none"/>
          <w:lang w:eastAsia="zh-CN"/>
        </w:rPr>
        <w:t>应当建立、健全职业病防治责任制，加强对职业病防治的管理，对产生的职业病危害承担责任。</w:t>
      </w:r>
    </w:p>
    <w:p w14:paraId="71BDF3E2">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3.2.6遵守当地政府和有关管理部门对环境保护及施工现场的管理规定，坚持文明施工作业，材料机具堆放整齐，建筑垃圾及时清运，并承担因违反有关规定造成的损失和罚款，施工造成的水土流失污染林地、河流以及因施工车辆造成的道路、农作物污染，均由乙方负责处理解决并承担费用。</w:t>
      </w:r>
    </w:p>
    <w:p w14:paraId="287E0C0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3.2.7乙方劳务人员在劳务作业中发生质量、安全责任事故，应及时报告甲方管理人员，不得擅自处理或隐瞒。</w:t>
      </w:r>
    </w:p>
    <w:p w14:paraId="6C511A2E">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3.2.8劳务作业过程中，乙方劳务人员与</w:t>
      </w:r>
      <w:r>
        <w:rPr>
          <w:rFonts w:hint="eastAsia" w:ascii="仿宋" w:hAnsi="仿宋" w:eastAsia="仿宋" w:cs="Times New Roman"/>
          <w:color w:val="auto"/>
          <w:kern w:val="2"/>
          <w:sz w:val="24"/>
          <w:highlight w:val="none"/>
          <w:lang w:val="en-US" w:eastAsia="zh-CN"/>
        </w:rPr>
        <w:t>在施工地与其他第三方</w:t>
      </w:r>
      <w:r>
        <w:rPr>
          <w:rFonts w:hint="eastAsia" w:ascii="仿宋" w:hAnsi="仿宋" w:eastAsia="仿宋" w:cs="Times New Roman"/>
          <w:color w:val="auto"/>
          <w:kern w:val="2"/>
          <w:sz w:val="24"/>
          <w:highlight w:val="none"/>
          <w:lang w:eastAsia="zh-CN"/>
        </w:rPr>
        <w:t>发生的债权债务及治安等问题由乙方负责处理，并承担相应责任和费用。</w:t>
      </w:r>
    </w:p>
    <w:p w14:paraId="658D28A0">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3.2.9乙方劳务人员须认真按照行业技术规范和设计要求以及甲方的管理进行劳务作业，随时接受甲方管理人员的监督检查。</w:t>
      </w:r>
    </w:p>
    <w:p w14:paraId="4322580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3.2.10乙方不得将本工程转包或者分包给其他单位或个人施工，须自行完成本协议规定的施工作业项目；在施工过程中，不得偷工减料，不得倒卖或挪用甲方供应的材料、设备、构配件、成品、半成品。</w:t>
      </w:r>
    </w:p>
    <w:p w14:paraId="292B36F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3.2.11遵守国家法律法规和甲方公司制度要求。</w:t>
      </w:r>
    </w:p>
    <w:p w14:paraId="75576FFD">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4.工期</w:t>
      </w:r>
    </w:p>
    <w:p w14:paraId="47AB5894">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4.1本劳务合作合同工期预计为</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月，开工日期以甲方通知乙方进场日期为准,完工日期以乙方完成甲方指定的工作为止。</w:t>
      </w:r>
    </w:p>
    <w:p w14:paraId="5A0838F7">
      <w:pPr>
        <w:framePr w:wrap="auto" w:vAnchor="margin" w:hAnchor="text" w:yAlign="inline"/>
        <w:widowControl w:val="0"/>
        <w:spacing w:line="360" w:lineRule="auto"/>
        <w:ind w:firstLine="480"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color w:val="auto"/>
          <w:kern w:val="2"/>
          <w:sz w:val="24"/>
          <w:highlight w:val="none"/>
          <w:lang w:eastAsia="zh-CN"/>
        </w:rPr>
        <w:t>4.2乙方未能按合同进度计划及时完成合同约定的工作，已造成或预期造成工期延误，甲方有权</w:t>
      </w:r>
      <w:r>
        <w:rPr>
          <w:rFonts w:hint="eastAsia" w:ascii="仿宋" w:hAnsi="仿宋" w:eastAsia="仿宋" w:cs="Times New Roman"/>
          <w:color w:val="auto"/>
          <w:kern w:val="2"/>
          <w:sz w:val="24"/>
          <w:highlight w:val="none"/>
          <w:lang w:val="en-US" w:eastAsia="zh-CN"/>
        </w:rPr>
        <w:t>解除</w:t>
      </w:r>
      <w:r>
        <w:rPr>
          <w:rFonts w:hint="eastAsia" w:ascii="仿宋" w:hAnsi="仿宋" w:eastAsia="仿宋" w:cs="Times New Roman"/>
          <w:color w:val="auto"/>
          <w:kern w:val="2"/>
          <w:sz w:val="24"/>
          <w:highlight w:val="none"/>
          <w:lang w:eastAsia="zh-CN"/>
        </w:rPr>
        <w:t>合同，也有权将本合同工程中的一部分工作交由其他第三方完成或自行完成。在不免除本合同</w:t>
      </w:r>
      <w:r>
        <w:rPr>
          <w:rFonts w:hint="eastAsia" w:ascii="仿宋" w:hAnsi="仿宋" w:eastAsia="仿宋" w:cs="Times New Roman"/>
          <w:color w:val="auto"/>
          <w:kern w:val="2"/>
          <w:sz w:val="24"/>
          <w:highlight w:val="none"/>
          <w:lang w:val="en-US" w:eastAsia="zh-CN"/>
        </w:rPr>
        <w:t>约</w:t>
      </w:r>
      <w:r>
        <w:rPr>
          <w:rFonts w:hint="eastAsia" w:ascii="仿宋" w:hAnsi="仿宋" w:eastAsia="仿宋" w:cs="Times New Roman"/>
          <w:color w:val="auto"/>
          <w:kern w:val="2"/>
          <w:sz w:val="24"/>
          <w:highlight w:val="none"/>
          <w:lang w:eastAsia="zh-CN"/>
        </w:rPr>
        <w:t>定的乙方责任和义务的同时，乙方应承担由此所增加的一切费用。由于乙方原因造成工期延误，乙方应支付逾期交工违约金，逾期交工违约金为</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万元/天，甲方有权从支付给乙方的款项（劳务费）中直接扣除该违约金。乙方支付逾期交工违约金，并不免除乙方完成工程及修补缺陷的义务。</w:t>
      </w:r>
    </w:p>
    <w:p w14:paraId="7412949C">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5.材料物资和机械设备</w:t>
      </w:r>
    </w:p>
    <w:p w14:paraId="55E54CD6">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5.1 本工程所需材料由甲方提供。甲方提供的材料名称及允许损耗系数等见《甲方提供材料清单》（附表2）。乙方应授权专人领用甲供材料，累计领用量超出理论用量加允许损耗用量的材料款，甲方将在乙方当月劳务费结算按《甲方提供材料清单》（附表2）中的“超标赔偿单价”计算直接扣回。</w:t>
      </w:r>
    </w:p>
    <w:p w14:paraId="4999834F">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5.2 乙方应自带除甲供机械设备外的其他全部小型工具和专用工具，提供必要的辅助材料。甲方提供的机械设备乙方应妥善使用和保管，用好后及时归还，损坏或丢失由乙方按重置市场价赔偿。</w:t>
      </w:r>
    </w:p>
    <w:p w14:paraId="78C8EFEC">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5.3 甲方提供的材料和机械设备到达工地或指定地点之后，发生的搬运、装卸、整理、清除等所有劳务工作均由</w:t>
      </w:r>
      <w:r>
        <w:rPr>
          <w:rFonts w:hint="eastAsia" w:ascii="仿宋" w:hAnsi="仿宋" w:eastAsia="仿宋" w:cs="Times New Roman"/>
          <w:color w:val="auto"/>
          <w:kern w:val="2"/>
          <w:sz w:val="24"/>
          <w:highlight w:val="none"/>
          <w:u w:val="single"/>
          <w:lang w:eastAsia="zh-CN"/>
        </w:rPr>
        <w:t>乙</w:t>
      </w:r>
      <w:r>
        <w:rPr>
          <w:rFonts w:hint="eastAsia" w:ascii="仿宋" w:hAnsi="仿宋" w:eastAsia="仿宋" w:cs="Times New Roman"/>
          <w:color w:val="auto"/>
          <w:kern w:val="2"/>
          <w:sz w:val="24"/>
          <w:highlight w:val="none"/>
          <w:lang w:eastAsia="zh-CN"/>
        </w:rPr>
        <w:t>方负责并承担费用。</w:t>
      </w:r>
    </w:p>
    <w:p w14:paraId="0AB7B866">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6.劳务作业人员管理</w:t>
      </w:r>
    </w:p>
    <w:p w14:paraId="572DCF76">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6.1乙方人员的劳动合同由乙方与其签订，建立劳务人员花名册并及时报送给甲方备案。各类社会保险、工伤保险等均由乙方统一申报，并缴纳费用。发现未订立劳动合同，查到一次即要求该人员停工办理上岗手续（签订劳动合同、上岗三级安全教育等），2天内未按规定办理上岗手续，即予以退场。</w:t>
      </w:r>
    </w:p>
    <w:p w14:paraId="6721372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6.2乙方提供的特种作业人员，应取得特种作业上岗操作证书。乙方应对劳务人员进行岗前的业务培训和安全生产教育。</w:t>
      </w:r>
    </w:p>
    <w:p w14:paraId="0FEB9D6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6.3乙方法定代表人应书面授权一名委托代理人实际履行合同义务并作为有效签字人，</w:t>
      </w:r>
      <w:r>
        <w:rPr>
          <w:rFonts w:hint="eastAsia" w:ascii="仿宋" w:hAnsi="仿宋" w:eastAsia="仿宋" w:cs="Times New Roman"/>
          <w:color w:val="auto"/>
          <w:kern w:val="2"/>
          <w:sz w:val="24"/>
          <w:highlight w:val="none"/>
          <w:lang w:val="en-US" w:eastAsia="zh-CN"/>
        </w:rPr>
        <w:t>还应</w:t>
      </w:r>
      <w:r>
        <w:rPr>
          <w:rFonts w:hint="eastAsia" w:ascii="仿宋" w:hAnsi="仿宋" w:eastAsia="仿宋" w:cs="Times New Roman"/>
          <w:color w:val="auto"/>
          <w:kern w:val="2"/>
          <w:sz w:val="24"/>
          <w:highlight w:val="none"/>
          <w:lang w:eastAsia="zh-CN"/>
        </w:rPr>
        <w:t xml:space="preserve">配备相应的管理人员，加强对劳务人员的管理。 </w:t>
      </w:r>
    </w:p>
    <w:p w14:paraId="4F02AA6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6.4乙方应及时足额发放工资，发放清单经劳务人员本人签字后交甲方留存备案。需由甲方统一代为发放的，乙方需出具书面委托，并在每月底报送劳务人员考勤表及乙方签字盖章确认的工资发放表给甲方，费用在月结算款中抵扣。</w:t>
      </w:r>
    </w:p>
    <w:p w14:paraId="1B20DF8B">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6.5乙方不得以任何理由和形式克扣</w:t>
      </w:r>
      <w:r>
        <w:rPr>
          <w:rFonts w:hint="eastAsia" w:ascii="仿宋" w:hAnsi="仿宋" w:eastAsia="仿宋" w:cs="Times New Roman"/>
          <w:color w:val="auto"/>
          <w:kern w:val="2"/>
          <w:sz w:val="24"/>
          <w:highlight w:val="none"/>
          <w:lang w:val="en-US" w:eastAsia="zh-CN"/>
        </w:rPr>
        <w:t>劳务人</w:t>
      </w:r>
      <w:r>
        <w:rPr>
          <w:rFonts w:hint="eastAsia" w:ascii="仿宋" w:hAnsi="仿宋" w:eastAsia="仿宋" w:cs="Times New Roman"/>
          <w:color w:val="auto"/>
          <w:kern w:val="2"/>
          <w:sz w:val="24"/>
          <w:highlight w:val="none"/>
          <w:lang w:eastAsia="zh-CN"/>
        </w:rPr>
        <w:t>劳务人员资，更不得发生</w:t>
      </w:r>
      <w:r>
        <w:rPr>
          <w:rFonts w:hint="eastAsia" w:ascii="仿宋" w:hAnsi="仿宋" w:eastAsia="仿宋" w:cs="Times New Roman"/>
          <w:color w:val="auto"/>
          <w:kern w:val="2"/>
          <w:sz w:val="24"/>
          <w:highlight w:val="none"/>
          <w:lang w:val="en-US" w:eastAsia="zh-CN"/>
        </w:rPr>
        <w:t>劳务人</w:t>
      </w:r>
      <w:r>
        <w:rPr>
          <w:rFonts w:hint="eastAsia" w:ascii="仿宋" w:hAnsi="仿宋" w:eastAsia="仿宋" w:cs="Times New Roman"/>
          <w:color w:val="auto"/>
          <w:kern w:val="2"/>
          <w:sz w:val="24"/>
          <w:highlight w:val="none"/>
          <w:lang w:eastAsia="zh-CN"/>
        </w:rPr>
        <w:t>员到甲方追讨工资或有举报拖欠工资情况发生，若乙方无理克扣或拖欠工资情况属实，视为乙方违约，甲方在垫付</w:t>
      </w:r>
      <w:r>
        <w:rPr>
          <w:rFonts w:hint="eastAsia" w:ascii="仿宋" w:hAnsi="仿宋" w:eastAsia="仿宋" w:cs="Times New Roman"/>
          <w:color w:val="auto"/>
          <w:kern w:val="2"/>
          <w:sz w:val="24"/>
          <w:highlight w:val="none"/>
          <w:lang w:val="en-US" w:eastAsia="zh-CN"/>
        </w:rPr>
        <w:t>劳务人员</w:t>
      </w:r>
      <w:r>
        <w:rPr>
          <w:rFonts w:hint="eastAsia" w:ascii="仿宋" w:hAnsi="仿宋" w:eastAsia="仿宋" w:cs="Times New Roman"/>
          <w:color w:val="auto"/>
          <w:kern w:val="2"/>
          <w:sz w:val="24"/>
          <w:highlight w:val="none"/>
          <w:lang w:eastAsia="zh-CN"/>
        </w:rPr>
        <w:t>应得工资后，有权</w:t>
      </w:r>
      <w:r>
        <w:rPr>
          <w:rFonts w:hint="eastAsia" w:ascii="仿宋" w:hAnsi="仿宋" w:eastAsia="仿宋" w:cs="Times New Roman"/>
          <w:color w:val="auto"/>
          <w:kern w:val="2"/>
          <w:sz w:val="24"/>
          <w:highlight w:val="none"/>
          <w:lang w:val="en-US" w:eastAsia="zh-CN"/>
        </w:rPr>
        <w:t>向乙方追偿并</w:t>
      </w:r>
      <w:r>
        <w:rPr>
          <w:rFonts w:hint="eastAsia" w:ascii="仿宋" w:hAnsi="仿宋" w:eastAsia="仿宋" w:cs="Times New Roman"/>
          <w:color w:val="auto"/>
          <w:kern w:val="2"/>
          <w:sz w:val="24"/>
          <w:highlight w:val="none"/>
          <w:lang w:eastAsia="zh-CN"/>
        </w:rPr>
        <w:t>要求乙方支付违约金，违约金数额为每次</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元，且不退还乙方已交的农民工工资保证金。同时，甲方有权要求乙方出具书面委托书，委托甲方统一代乙方发放劳务人员工资。</w:t>
      </w:r>
    </w:p>
    <w:p w14:paraId="0AB8BA16">
      <w:pPr>
        <w:framePr w:wrap="auto" w:vAnchor="margin" w:hAnchor="text" w:yAlign="inline"/>
        <w:widowControl w:val="0"/>
        <w:spacing w:line="360" w:lineRule="auto"/>
        <w:ind w:firstLine="482"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7.劳务作业管理</w:t>
      </w:r>
    </w:p>
    <w:p w14:paraId="41479F9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7.1乙方承担的工程内容，不得再行转包或分包，否则视为乙方违约，由此引起的一切责任和损失均由乙方负责。</w:t>
      </w:r>
    </w:p>
    <w:p w14:paraId="6D2CFE90">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7.2 乙方违反合同约定，工程质量未达到合同约定要求的，甲方有权</w:t>
      </w:r>
      <w:r>
        <w:rPr>
          <w:rFonts w:hint="eastAsia" w:ascii="仿宋" w:hAnsi="仿宋" w:eastAsia="仿宋" w:cs="Times New Roman"/>
          <w:color w:val="auto"/>
          <w:kern w:val="2"/>
          <w:sz w:val="24"/>
          <w:highlight w:val="none"/>
          <w:lang w:val="en-US" w:eastAsia="zh-CN"/>
        </w:rPr>
        <w:t>解除</w:t>
      </w:r>
      <w:r>
        <w:rPr>
          <w:rFonts w:hint="eastAsia" w:ascii="仿宋" w:hAnsi="仿宋" w:eastAsia="仿宋" w:cs="Times New Roman"/>
          <w:color w:val="auto"/>
          <w:kern w:val="2"/>
          <w:sz w:val="24"/>
          <w:highlight w:val="none"/>
          <w:lang w:eastAsia="zh-CN"/>
        </w:rPr>
        <w:t>合同，并处以</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万元的违约金，并且由此引起的一切损失由乙方负责赔偿给甲方，损失包括但不限于甲方支付给业主方的费用、诉讼费、保全费、公告费、律师代理费等。</w:t>
      </w:r>
    </w:p>
    <w:p w14:paraId="7AD6770B">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7.3乙方应按甲方规定格式和要求及时报送完整的资料给甲方，配合甲方办理中期计量支付及交工验收。</w:t>
      </w:r>
    </w:p>
    <w:p w14:paraId="3D47BDCF">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8.安全管理</w:t>
      </w:r>
    </w:p>
    <w:p w14:paraId="6AE641CC">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8.1乙方应严格按施工方案和操作规程施工，因乙方原因导致的安全事故，由乙方承担责任并负责赔偿。</w:t>
      </w:r>
    </w:p>
    <w:p w14:paraId="61DB27B5">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w:t>
      </w:r>
      <w:r>
        <w:rPr>
          <w:rFonts w:hint="eastAsia" w:ascii="仿宋" w:hAnsi="仿宋" w:eastAsia="仿宋" w:cs="Times New Roman"/>
          <w:color w:val="auto"/>
          <w:kern w:val="2"/>
          <w:sz w:val="24"/>
          <w:highlight w:val="none"/>
          <w:lang w:val="en-US" w:eastAsia="zh-CN"/>
        </w:rPr>
        <w:t>2</w:t>
      </w:r>
      <w:r>
        <w:rPr>
          <w:rFonts w:hint="eastAsia" w:ascii="仿宋" w:hAnsi="仿宋" w:eastAsia="仿宋" w:cs="Times New Roman"/>
          <w:color w:val="auto"/>
          <w:kern w:val="2"/>
          <w:sz w:val="24"/>
          <w:highlight w:val="none"/>
          <w:lang w:eastAsia="zh-CN"/>
        </w:rPr>
        <w:t>乙方应配备专职安全员，协助并服从甲方进行安全管理。</w:t>
      </w:r>
    </w:p>
    <w:p w14:paraId="434917A3">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w:t>
      </w:r>
      <w:r>
        <w:rPr>
          <w:rFonts w:hint="eastAsia" w:ascii="仿宋" w:hAnsi="仿宋" w:eastAsia="仿宋" w:cs="Times New Roman"/>
          <w:color w:val="auto"/>
          <w:kern w:val="2"/>
          <w:sz w:val="24"/>
          <w:highlight w:val="none"/>
          <w:lang w:val="en-US" w:eastAsia="zh-CN"/>
        </w:rPr>
        <w:t>3</w:t>
      </w:r>
      <w:r>
        <w:rPr>
          <w:rFonts w:hint="eastAsia" w:ascii="仿宋" w:hAnsi="仿宋" w:eastAsia="仿宋" w:cs="Times New Roman"/>
          <w:color w:val="auto"/>
          <w:kern w:val="2"/>
          <w:sz w:val="24"/>
          <w:highlight w:val="none"/>
          <w:lang w:eastAsia="zh-CN"/>
        </w:rPr>
        <w:t>本工程劳务合作合同综合单价已含安全防护、劳动保护费用，乙方应按规范标准设置安全防护设施和配备劳动保护设施；若安全防护设施和劳动保护设施投入不足的，甲方有权先行投入，但费用由乙承担，由甲方在乙方的劳务费用中直接扣除。如乙方施工内容存在一定的危险性，乙方应购买意外伤害保险，甲方认为有必要的，有权先行代购，费用由乙方承担。</w:t>
      </w:r>
    </w:p>
    <w:p w14:paraId="15A7DA06">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w:t>
      </w:r>
      <w:r>
        <w:rPr>
          <w:rFonts w:hint="eastAsia" w:ascii="仿宋" w:hAnsi="仿宋" w:eastAsia="仿宋" w:cs="Times New Roman"/>
          <w:color w:val="auto"/>
          <w:kern w:val="2"/>
          <w:sz w:val="24"/>
          <w:highlight w:val="none"/>
          <w:lang w:val="en-US" w:eastAsia="zh-CN"/>
        </w:rPr>
        <w:t>4</w:t>
      </w:r>
      <w:r>
        <w:rPr>
          <w:rFonts w:hint="eastAsia" w:ascii="仿宋" w:hAnsi="仿宋" w:eastAsia="仿宋" w:cs="Times New Roman"/>
          <w:color w:val="auto"/>
          <w:kern w:val="2"/>
          <w:sz w:val="24"/>
          <w:highlight w:val="none"/>
          <w:lang w:eastAsia="zh-CN"/>
        </w:rPr>
        <w:t xml:space="preserve"> 乙方的特种作业人员应持证上岗，证件复印件留甲方备查。</w:t>
      </w:r>
    </w:p>
    <w:p w14:paraId="265F1D14">
      <w:pPr>
        <w:framePr w:wrap="auto" w:vAnchor="margin" w:hAnchor="text" w:yAlign="inline"/>
        <w:widowControl w:val="0"/>
        <w:tabs>
          <w:tab w:val="left" w:pos="0"/>
        </w:tabs>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8.</w:t>
      </w:r>
      <w:r>
        <w:rPr>
          <w:rFonts w:hint="eastAsia" w:ascii="仿宋" w:hAnsi="仿宋" w:eastAsia="仿宋" w:cs="Times New Roman"/>
          <w:color w:val="auto"/>
          <w:kern w:val="2"/>
          <w:sz w:val="24"/>
          <w:highlight w:val="none"/>
          <w:lang w:val="en-US" w:eastAsia="zh-CN"/>
        </w:rPr>
        <w:t>5</w:t>
      </w:r>
      <w:r>
        <w:rPr>
          <w:rFonts w:hint="eastAsia" w:ascii="仿宋" w:hAnsi="仿宋" w:eastAsia="仿宋" w:cs="Times New Roman"/>
          <w:color w:val="auto"/>
          <w:kern w:val="2"/>
          <w:sz w:val="24"/>
          <w:highlight w:val="none"/>
          <w:lang w:eastAsia="zh-CN"/>
        </w:rPr>
        <w:t xml:space="preserve"> 因乙方原因，导致发生安全事故、治安事件、人身意外事件等，由乙方承担赔偿责任；</w:t>
      </w:r>
      <w:r>
        <w:rPr>
          <w:rFonts w:hint="eastAsia" w:ascii="仿宋" w:hAnsi="仿宋" w:eastAsia="仿宋" w:cs="Times New Roman"/>
          <w:color w:val="auto"/>
          <w:kern w:val="2"/>
          <w:sz w:val="24"/>
          <w:highlight w:val="none"/>
          <w:lang w:val="en-US" w:eastAsia="zh-CN"/>
        </w:rPr>
        <w:t>甲方有权要求乙方进行整改，</w:t>
      </w:r>
      <w:r>
        <w:rPr>
          <w:rFonts w:hint="eastAsia" w:ascii="仿宋" w:hAnsi="仿宋" w:eastAsia="仿宋" w:cs="Times New Roman"/>
          <w:color w:val="auto"/>
          <w:kern w:val="2"/>
          <w:sz w:val="24"/>
          <w:highlight w:val="none"/>
          <w:lang w:eastAsia="zh-CN"/>
        </w:rPr>
        <w:t>整改不力的，甲方有权</w:t>
      </w:r>
      <w:r>
        <w:rPr>
          <w:rFonts w:hint="eastAsia" w:ascii="仿宋" w:hAnsi="仿宋" w:eastAsia="仿宋" w:cs="Times New Roman"/>
          <w:color w:val="auto"/>
          <w:kern w:val="2"/>
          <w:sz w:val="24"/>
          <w:highlight w:val="none"/>
          <w:lang w:val="en-US" w:eastAsia="zh-CN"/>
        </w:rPr>
        <w:t>解除</w:t>
      </w:r>
      <w:r>
        <w:rPr>
          <w:rFonts w:hint="eastAsia" w:ascii="仿宋" w:hAnsi="仿宋" w:eastAsia="仿宋" w:cs="Times New Roman"/>
          <w:color w:val="auto"/>
          <w:kern w:val="2"/>
          <w:sz w:val="24"/>
          <w:highlight w:val="none"/>
          <w:lang w:eastAsia="zh-CN"/>
        </w:rPr>
        <w:t>本合同，如因此导致甲方垫付费用等损失，甲方有权追偿，追偿的费用包括但不限于甲方垫付的费用、诉讼费、保全费、律师代理费等。</w:t>
      </w:r>
    </w:p>
    <w:p w14:paraId="6167A10B">
      <w:pPr>
        <w:framePr w:wrap="auto" w:vAnchor="margin" w:hAnchor="text" w:yAlign="inline"/>
        <w:widowControl w:val="0"/>
        <w:spacing w:line="360" w:lineRule="auto"/>
        <w:ind w:firstLine="482"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9.</w:t>
      </w:r>
      <w:r>
        <w:rPr>
          <w:rFonts w:hint="eastAsia" w:ascii="仿宋" w:hAnsi="仿宋" w:eastAsia="仿宋" w:cs="Times New Roman"/>
          <w:b/>
          <w:color w:val="auto"/>
          <w:kern w:val="2"/>
          <w:sz w:val="24"/>
          <w:highlight w:val="none"/>
          <w:lang w:val="en-US" w:eastAsia="zh-CN"/>
        </w:rPr>
        <w:t>人员</w:t>
      </w:r>
      <w:r>
        <w:rPr>
          <w:rFonts w:hint="eastAsia" w:ascii="仿宋" w:hAnsi="仿宋" w:eastAsia="仿宋" w:cs="Times New Roman"/>
          <w:b/>
          <w:color w:val="auto"/>
          <w:kern w:val="2"/>
          <w:sz w:val="24"/>
          <w:highlight w:val="none"/>
          <w:lang w:eastAsia="zh-CN"/>
        </w:rPr>
        <w:t>关系管理</w:t>
      </w:r>
    </w:p>
    <w:p w14:paraId="0AC2D47B">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9.1乙方招用的人员，应当依法签订劳动用工合同，进场施工前，须提交工人花名册、工人的劳动合同到甲方处备案；工人花名册应每月进行更新备案；新增人员劳动合同与工人花名册每月同步提交至项目部。乙方不得招用</w:t>
      </w:r>
      <w:r>
        <w:rPr>
          <w:rFonts w:hint="eastAsia" w:ascii="仿宋" w:hAnsi="仿宋" w:eastAsia="仿宋" w:cs="Times New Roman"/>
          <w:color w:val="auto"/>
          <w:kern w:val="2"/>
          <w:sz w:val="24"/>
          <w:highlight w:val="none"/>
          <w:lang w:val="en-US" w:eastAsia="zh-CN"/>
        </w:rPr>
        <w:t>达到法定</w:t>
      </w:r>
      <w:r>
        <w:rPr>
          <w:rFonts w:hint="eastAsia" w:ascii="仿宋" w:hAnsi="仿宋" w:eastAsia="仿宋" w:cs="Times New Roman"/>
          <w:color w:val="auto"/>
          <w:kern w:val="2"/>
          <w:sz w:val="24"/>
          <w:highlight w:val="none"/>
          <w:lang w:eastAsia="zh-CN"/>
        </w:rPr>
        <w:t>退休年龄的人员。</w:t>
      </w:r>
    </w:p>
    <w:p w14:paraId="3AB396D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9.2乙方若未按上述约定进行用工管理，导致乙方工人申请工伤认定、劳动仲裁或提起诉讼而牵连甲方的，每发生一宗乙方</w:t>
      </w:r>
      <w:r>
        <w:rPr>
          <w:rFonts w:hint="eastAsia" w:ascii="仿宋" w:hAnsi="仿宋" w:eastAsia="仿宋" w:cs="Times New Roman"/>
          <w:color w:val="auto"/>
          <w:kern w:val="2"/>
          <w:sz w:val="24"/>
          <w:highlight w:val="none"/>
          <w:lang w:val="en-US" w:eastAsia="zh-CN"/>
        </w:rPr>
        <w:t>应向甲方支付违约金</w:t>
      </w:r>
      <w:r>
        <w:rPr>
          <w:rFonts w:hint="eastAsia" w:ascii="仿宋" w:hAnsi="仿宋" w:eastAsia="仿宋" w:cs="Times New Roman"/>
          <w:color w:val="auto"/>
          <w:kern w:val="2"/>
          <w:sz w:val="24"/>
          <w:highlight w:val="none"/>
          <w:lang w:eastAsia="zh-CN"/>
        </w:rPr>
        <w:t>5万元，该费用将从应付给乙方的任何款项中直接扣除。如因此而导致甲方垫付费用的，甲方有权追偿，追偿的费用包括但不限于甲方垫付的费用、诉讼费、保全费、律师代理费等。</w:t>
      </w:r>
    </w:p>
    <w:p w14:paraId="1C80DF1C">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发生劳动争议仲裁或诉讼后，乙方可自行选择与工人和解或应诉；选择应诉的，甲方将按案件标的的1.3倍暂扣乙方的劳务费直至结案。</w:t>
      </w:r>
    </w:p>
    <w:p w14:paraId="53FEC127">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9.3乙方招用的人员采用实名制管理，其应得工资应通过银行卡转帐或现金的方式及时、足额地直接发放给劳务人员本人。严禁发放给其他不具备用工主体资格的组织和个人。甲方支付劳务费款时，乙方须提供上一期劳务人员工资的付款凭证，否则甲方有权不支付劳务费。</w:t>
      </w:r>
    </w:p>
    <w:p w14:paraId="27CCCF8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9.4乙方招用的人员，在核定的人工费总额内需由甲方统一代为发放的，乙方需出具书面委托，并在每月月底报送劳务人员考勤表及乙方签认的工资发放表到甲方。甲方以工资卡形式发放，费用在月结算劳务费中直接抵扣。</w:t>
      </w:r>
    </w:p>
    <w:p w14:paraId="26863B52">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9.5乙方在合同签署前向甲方交纳农民工工资保证金，若乙方拖欠农民工工资，甲方有权利直接从乙方交纳的工资保证金中扣除相应费用向劳务人员进行支付。在分包工程验收合格，乙方出具无拖欠农民工（劳务人员）工资承诺后，由甲方一次性退还给乙方。</w:t>
      </w:r>
    </w:p>
    <w:p w14:paraId="27CEBFC1">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10.保险</w:t>
      </w:r>
    </w:p>
    <w:p w14:paraId="30ACB551">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乙方必须自费为其在本工程雇用的</w:t>
      </w:r>
      <w:r>
        <w:rPr>
          <w:rFonts w:hint="eastAsia" w:ascii="仿宋" w:hAnsi="仿宋" w:eastAsia="仿宋" w:cs="Times New Roman"/>
          <w:color w:val="auto"/>
          <w:kern w:val="2"/>
          <w:sz w:val="24"/>
          <w:highlight w:val="none"/>
          <w:lang w:val="en-US" w:eastAsia="zh-CN"/>
        </w:rPr>
        <w:t>人员</w:t>
      </w:r>
      <w:r>
        <w:rPr>
          <w:rFonts w:hint="eastAsia" w:ascii="仿宋" w:hAnsi="仿宋" w:eastAsia="仿宋" w:cs="Times New Roman"/>
          <w:color w:val="auto"/>
          <w:kern w:val="2"/>
          <w:sz w:val="24"/>
          <w:highlight w:val="none"/>
          <w:lang w:eastAsia="zh-CN"/>
        </w:rPr>
        <w:t>购买人身意外险、工伤保险及其他社会保险等。乙方因未办理保险而产生的或不能从保险公司得到的赔偿金额、或赔偿金额不足以抵销损失的，由乙方负责承担，甲方及其所属管理单位不承担任何赔偿责任。如因此导致甲方垫付费用等损失的，甲方有权向乙方进行追偿，追偿的费用包括但不限于甲方垫付的费用、诉讼费、保全费、律师代理费等。</w:t>
      </w:r>
    </w:p>
    <w:p w14:paraId="6CD7FB35">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11.结算支付</w:t>
      </w:r>
    </w:p>
    <w:p w14:paraId="47ADA105">
      <w:pPr>
        <w:framePr w:wrap="auto" w:vAnchor="margin" w:hAnchor="text" w:yAlign="inline"/>
        <w:widowControl w:val="0"/>
        <w:spacing w:line="360" w:lineRule="auto"/>
        <w:ind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11.1计量支付和结算原则</w:t>
      </w:r>
    </w:p>
    <w:p w14:paraId="14F9A4C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11.1.1</w:t>
      </w:r>
      <w:r>
        <w:rPr>
          <w:rFonts w:hint="eastAsia" w:ascii="仿宋" w:hAnsi="仿宋" w:eastAsia="仿宋" w:cs="Times New Roman"/>
          <w:b/>
          <w:color w:val="auto"/>
          <w:kern w:val="2"/>
          <w:sz w:val="24"/>
          <w:highlight w:val="none"/>
          <w:lang w:eastAsia="zh-CN"/>
        </w:rPr>
        <w:t>甲方按月或双方根据业主计量情况协商结算周期进行计量</w:t>
      </w:r>
      <w:r>
        <w:rPr>
          <w:rFonts w:hint="eastAsia" w:ascii="仿宋" w:hAnsi="仿宋" w:eastAsia="仿宋" w:cs="Times New Roman"/>
          <w:color w:val="auto"/>
          <w:kern w:val="2"/>
          <w:sz w:val="24"/>
          <w:highlight w:val="none"/>
          <w:lang w:eastAsia="zh-CN"/>
        </w:rPr>
        <w:t>，对完成的劳务作业量进行书面确认，劳务作业量验收合格后2个月内完成合同结算，结算数量按业主批复内乙方实际完成的数量进行确认。</w:t>
      </w:r>
    </w:p>
    <w:p w14:paraId="76298937">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11.1.2甲方只对甲乙双方确认的乙方实际完成的经甲方验收合格的清单劳务作业量进行计量支付，甲方无义务向乙方垫付或预付双方已确认结算工程量之外的工程款。</w:t>
      </w:r>
    </w:p>
    <w:p w14:paraId="1277ED47">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11.1.3甲方对乙方未达到本合同要求的质量标准的作业量不予计量，乙方应对未达到质量要求的作业项目进行返工，直到质量达到要求后方予以计量，返工费用由乙方承担。</w:t>
      </w:r>
    </w:p>
    <w:p w14:paraId="06252BC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11.1.4本合同涉及的所有期中计量支付、完工结算支付均由甲方支付到乙方在本合同约定的银行账户，无特殊情况下，甲方不接受乙方提供的任何第三方银行账户或委托支付。</w:t>
      </w:r>
    </w:p>
    <w:p w14:paraId="457709BC">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 xml:space="preserve"> 11.1.5支付方式</w:t>
      </w:r>
    </w:p>
    <w:p w14:paraId="5A7A6AAE">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乙方同意甲方根据管理需要选择银行转账方式支付计量款项。</w:t>
      </w:r>
    </w:p>
    <w:p w14:paraId="25DE32D4">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11.2中期支付</w:t>
      </w:r>
    </w:p>
    <w:p w14:paraId="4799A9E7">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11.2.1甲方每月</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日前对乙方自上月</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日至本月</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日</w:t>
      </w:r>
      <w:r>
        <w:rPr>
          <w:rFonts w:hint="eastAsia" w:ascii="仿宋" w:hAnsi="仿宋" w:eastAsia="仿宋" w:cs="Times New Roman"/>
          <w:color w:val="auto"/>
          <w:kern w:val="2"/>
          <w:sz w:val="24"/>
          <w:highlight w:val="none"/>
          <w:lang w:val="en-US" w:eastAsia="zh-CN"/>
        </w:rPr>
        <w:t>前</w:t>
      </w:r>
      <w:r>
        <w:rPr>
          <w:rFonts w:hint="eastAsia" w:ascii="仿宋" w:hAnsi="仿宋" w:eastAsia="仿宋" w:cs="Times New Roman"/>
          <w:color w:val="auto"/>
          <w:kern w:val="2"/>
          <w:sz w:val="24"/>
          <w:highlight w:val="none"/>
          <w:lang w:eastAsia="zh-CN"/>
        </w:rPr>
        <w:t>完成的合格劳务作业量进行中间计量，扣除</w:t>
      </w:r>
      <w:r>
        <w:rPr>
          <w:rFonts w:hint="eastAsia" w:ascii="仿宋" w:hAnsi="仿宋" w:eastAsia="仿宋" w:cs="Times New Roman"/>
          <w:color w:val="auto"/>
          <w:kern w:val="2"/>
          <w:sz w:val="24"/>
          <w:highlight w:val="none"/>
          <w:lang w:val="en-US" w:eastAsia="zh-CN"/>
        </w:rPr>
        <w:t>质量保</w:t>
      </w:r>
      <w:r>
        <w:rPr>
          <w:rFonts w:hint="eastAsia" w:ascii="仿宋" w:hAnsi="仿宋" w:eastAsia="仿宋" w:cs="Times New Roman"/>
          <w:color w:val="auto"/>
          <w:kern w:val="2"/>
          <w:sz w:val="24"/>
          <w:highlight w:val="none"/>
          <w:lang w:eastAsia="zh-CN"/>
        </w:rPr>
        <w:t>证金及其他应扣款后款项，由甲方根据自身资金情况决定支付比例和进度。</w:t>
      </w:r>
    </w:p>
    <w:p w14:paraId="4859127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11.2.2扣</w:t>
      </w:r>
      <w:r>
        <w:rPr>
          <w:rFonts w:hint="default" w:ascii="仿宋" w:hAnsi="仿宋" w:eastAsia="仿宋" w:cs="Times New Roman"/>
          <w:color w:val="auto"/>
          <w:kern w:val="2"/>
          <w:sz w:val="24"/>
          <w:highlight w:val="none"/>
          <w:lang w:eastAsia="zh-CN"/>
        </w:rPr>
        <w:t>质量保证金</w:t>
      </w:r>
      <w:r>
        <w:rPr>
          <w:rFonts w:hint="eastAsia" w:ascii="仿宋" w:hAnsi="仿宋" w:eastAsia="仿宋" w:cs="Times New Roman"/>
          <w:color w:val="auto"/>
          <w:kern w:val="2"/>
          <w:sz w:val="24"/>
          <w:highlight w:val="none"/>
          <w:lang w:eastAsia="zh-CN"/>
        </w:rPr>
        <w:t>的比例为甲方确认计量总金额的</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%，安全保证金为</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%，暂扣款为</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w:t>
      </w:r>
    </w:p>
    <w:p w14:paraId="44C53656">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11.2.3农民工工资支付保证金按</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%比例在计量支付时提取，在乙方劳务作业全部完成并出具无拖欠农民工工资承诺后退还。</w:t>
      </w:r>
    </w:p>
    <w:p w14:paraId="752822B7">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 完工结算和支付</w:t>
      </w:r>
    </w:p>
    <w:p w14:paraId="06A713F6">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11.3.1 乙方负责的劳务合作作业完工2个月内，甲乙双方按本合同约定的单价和甲乙双方确认的实际完成的劳务作业数量进行完工结算，并签订结算协议，项目</w:t>
      </w:r>
      <w:r>
        <w:rPr>
          <w:rFonts w:hint="eastAsia" w:ascii="仿宋" w:hAnsi="仿宋" w:eastAsia="仿宋" w:cs="Times New Roman"/>
          <w:color w:val="auto"/>
          <w:kern w:val="2"/>
          <w:sz w:val="24"/>
          <w:highlight w:val="none"/>
          <w:lang w:val="en-US" w:eastAsia="zh-CN"/>
        </w:rPr>
        <w:t>竣工验收完成</w:t>
      </w:r>
      <w:r>
        <w:rPr>
          <w:rFonts w:hint="eastAsia" w:ascii="仿宋" w:hAnsi="仿宋" w:eastAsia="仿宋" w:cs="Times New Roman"/>
          <w:color w:val="auto"/>
          <w:kern w:val="2"/>
          <w:sz w:val="24"/>
          <w:highlight w:val="none"/>
          <w:lang w:eastAsia="zh-CN"/>
        </w:rPr>
        <w:t>前，累计付款不应超过结算金额的</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项目</w:t>
      </w:r>
      <w:r>
        <w:rPr>
          <w:rFonts w:hint="eastAsia" w:ascii="仿宋" w:hAnsi="仿宋" w:eastAsia="仿宋" w:cs="Times New Roman"/>
          <w:color w:val="auto"/>
          <w:kern w:val="2"/>
          <w:sz w:val="24"/>
          <w:highlight w:val="none"/>
          <w:lang w:val="en-US" w:eastAsia="zh-CN"/>
        </w:rPr>
        <w:t>竣工</w:t>
      </w:r>
      <w:r>
        <w:rPr>
          <w:rFonts w:hint="eastAsia" w:ascii="仿宋" w:hAnsi="仿宋" w:eastAsia="仿宋" w:cs="Times New Roman"/>
          <w:color w:val="auto"/>
          <w:kern w:val="2"/>
          <w:sz w:val="24"/>
          <w:highlight w:val="none"/>
          <w:lang w:eastAsia="zh-CN"/>
        </w:rPr>
        <w:t>完成</w:t>
      </w:r>
      <w:r>
        <w:rPr>
          <w:rFonts w:hint="eastAsia" w:ascii="仿宋" w:hAnsi="仿宋" w:eastAsia="仿宋" w:cs="Times New Roman"/>
          <w:color w:val="auto"/>
          <w:kern w:val="2"/>
          <w:sz w:val="24"/>
          <w:highlight w:val="none"/>
          <w:lang w:val="en-US" w:eastAsia="zh-CN"/>
        </w:rPr>
        <w:t>后</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 xml:space="preserve">支付至结算金额的 </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val="en-US" w:eastAsia="zh-CN"/>
        </w:rPr>
        <w:t>%，余</w:t>
      </w:r>
      <w:r>
        <w:rPr>
          <w:rFonts w:hint="eastAsia" w:ascii="仿宋" w:hAnsi="仿宋" w:eastAsia="仿宋" w:cs="Times New Roman"/>
          <w:b/>
          <w:bCs/>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val="en-US" w:eastAsia="zh-CN"/>
        </w:rPr>
        <w:t>%作为工程质量保证金</w:t>
      </w:r>
      <w:r>
        <w:rPr>
          <w:rFonts w:hint="eastAsia" w:ascii="仿宋" w:hAnsi="仿宋" w:eastAsia="仿宋" w:cs="Times New Roman"/>
          <w:color w:val="auto"/>
          <w:kern w:val="2"/>
          <w:sz w:val="24"/>
          <w:highlight w:val="none"/>
          <w:lang w:eastAsia="zh-CN"/>
        </w:rPr>
        <w:t>。</w:t>
      </w:r>
    </w:p>
    <w:p w14:paraId="77A71818">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11.3.2 在甲方收到业主相应工程款的前提下，在双方签订的劳务合作结算协议经合同审</w:t>
      </w:r>
      <w:r>
        <w:rPr>
          <w:rFonts w:hint="eastAsia" w:ascii="仿宋" w:hAnsi="仿宋" w:eastAsia="仿宋" w:cs="Times New Roman"/>
          <w:color w:val="auto"/>
          <w:kern w:val="2"/>
          <w:sz w:val="24"/>
          <w:highlight w:val="none"/>
          <w:lang w:val="en-US" w:eastAsia="zh-CN"/>
        </w:rPr>
        <w:t>核</w:t>
      </w:r>
      <w:r>
        <w:rPr>
          <w:rFonts w:hint="eastAsia" w:ascii="仿宋" w:hAnsi="仿宋" w:eastAsia="仿宋" w:cs="Times New Roman"/>
          <w:color w:val="auto"/>
          <w:kern w:val="2"/>
          <w:sz w:val="24"/>
          <w:highlight w:val="none"/>
          <w:lang w:eastAsia="zh-CN"/>
        </w:rPr>
        <w:t>通过之日起的28天内，甲方向乙方支付除质量保证金和其他应扣款以外的剩余应付款项。</w:t>
      </w:r>
    </w:p>
    <w:p w14:paraId="0E38EA75">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11.3.3质量保证金、安全保证金、暂扣款的退还：质量保证金在竣工验收合格并顺利通过审计（纯劳务按交工验收1年内），在业主返还质量保证金后1个月内</w:t>
      </w:r>
      <w:r>
        <w:rPr>
          <w:rFonts w:hint="eastAsia" w:ascii="仿宋" w:hAnsi="仿宋" w:eastAsia="仿宋" w:cs="Times New Roman"/>
          <w:color w:val="auto"/>
          <w:kern w:val="2"/>
          <w:sz w:val="24"/>
          <w:highlight w:val="none"/>
          <w:lang w:val="en-US" w:eastAsia="zh-CN"/>
        </w:rPr>
        <w:t>无息退还</w:t>
      </w:r>
      <w:r>
        <w:rPr>
          <w:rFonts w:hint="eastAsia" w:ascii="仿宋" w:hAnsi="仿宋" w:eastAsia="仿宋" w:cs="Times New Roman"/>
          <w:color w:val="auto"/>
          <w:kern w:val="2"/>
          <w:sz w:val="24"/>
          <w:highlight w:val="none"/>
          <w:lang w:eastAsia="zh-CN"/>
        </w:rPr>
        <w:t>；若有部分项目因审计造成扣款的或出现缺陷责任需对工程进行修复所发生的费用，甲方将在乙方的质量保证金中扣除，如质量保证金不足以扣除相应的款项，甲方可对乙方进行费用追索。若施工过程中没有发生安全事故的，安全保证金在竣工验收合格后退还。暂扣款项目结算后半年内支付。质量保证金、安全保证金、暂扣款的返还不计任何利息。</w:t>
      </w:r>
    </w:p>
    <w:p w14:paraId="4A6FD73E">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11.3.4最后结算支付以甲方审计为准。</w:t>
      </w:r>
    </w:p>
    <w:p w14:paraId="4A5DEA98">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11.3.5乙方与其他第三方的经济、法律、劳资等纠纷申诉牵连到甲方的，如果乙方没有及时妥善解决，甲方有权从乙方保留证金和暂扣款中扣除相应金额给申诉方，并</w:t>
      </w:r>
      <w:r>
        <w:rPr>
          <w:rFonts w:hint="eastAsia" w:ascii="仿宋" w:hAnsi="仿宋" w:eastAsia="仿宋" w:cs="Times New Roman"/>
          <w:color w:val="auto"/>
          <w:kern w:val="2"/>
          <w:sz w:val="24"/>
          <w:highlight w:val="none"/>
          <w:lang w:val="en-US" w:eastAsia="zh-CN"/>
        </w:rPr>
        <w:t>有权要求</w:t>
      </w:r>
      <w:r>
        <w:rPr>
          <w:rFonts w:hint="eastAsia" w:ascii="仿宋" w:hAnsi="仿宋" w:eastAsia="仿宋" w:cs="Times New Roman"/>
          <w:color w:val="auto"/>
          <w:kern w:val="2"/>
          <w:sz w:val="24"/>
          <w:highlight w:val="none"/>
          <w:lang w:eastAsia="zh-CN"/>
        </w:rPr>
        <w:t>乙方</w:t>
      </w:r>
      <w:r>
        <w:rPr>
          <w:rFonts w:hint="eastAsia" w:ascii="仿宋" w:hAnsi="仿宋" w:eastAsia="仿宋" w:cs="Times New Roman"/>
          <w:color w:val="auto"/>
          <w:kern w:val="2"/>
          <w:sz w:val="24"/>
          <w:highlight w:val="none"/>
          <w:lang w:val="en-US" w:eastAsia="zh-CN"/>
        </w:rPr>
        <w:t>支付</w:t>
      </w:r>
      <w:r>
        <w:rPr>
          <w:rFonts w:hint="eastAsia" w:ascii="仿宋" w:hAnsi="仿宋" w:eastAsia="仿宋" w:cs="Times New Roman"/>
          <w:color w:val="auto"/>
          <w:kern w:val="2"/>
          <w:sz w:val="24"/>
          <w:highlight w:val="none"/>
          <w:lang w:eastAsia="zh-CN"/>
        </w:rPr>
        <w:t>相同金额的</w:t>
      </w:r>
      <w:r>
        <w:rPr>
          <w:rFonts w:hint="eastAsia" w:ascii="仿宋" w:hAnsi="仿宋" w:eastAsia="仿宋" w:cs="Times New Roman"/>
          <w:color w:val="auto"/>
          <w:kern w:val="2"/>
          <w:sz w:val="24"/>
          <w:highlight w:val="none"/>
          <w:lang w:val="en-US" w:eastAsia="zh-CN"/>
        </w:rPr>
        <w:t>违约金</w:t>
      </w:r>
      <w:r>
        <w:rPr>
          <w:rFonts w:hint="eastAsia" w:ascii="仿宋" w:hAnsi="仿宋" w:eastAsia="仿宋" w:cs="Times New Roman"/>
          <w:color w:val="auto"/>
          <w:kern w:val="2"/>
          <w:sz w:val="24"/>
          <w:highlight w:val="none"/>
          <w:lang w:eastAsia="zh-CN"/>
        </w:rPr>
        <w:t>。</w:t>
      </w:r>
    </w:p>
    <w:p w14:paraId="00DB666E">
      <w:pPr>
        <w:widowControl w:val="0"/>
        <w:spacing w:line="360" w:lineRule="auto"/>
        <w:ind w:firstLine="480" w:firstLineChars="200"/>
        <w:jc w:val="both"/>
        <w:rPr>
          <w:rFonts w:ascii="宋体" w:hAnsi="宋体" w:eastAsia="仿宋" w:cs="Times New Roman"/>
          <w:color w:val="auto"/>
          <w:kern w:val="2"/>
          <w:sz w:val="24"/>
          <w:szCs w:val="21"/>
          <w:highlight w:val="none"/>
          <w:lang w:val="en-US" w:eastAsia="zh-CN" w:bidi="ar-SA"/>
        </w:rPr>
      </w:pPr>
      <w:r>
        <w:rPr>
          <w:rFonts w:hint="eastAsia" w:ascii="仿宋" w:hAnsi="仿宋" w:eastAsia="仿宋" w:cs="Times New Roman"/>
          <w:color w:val="auto"/>
          <w:kern w:val="2"/>
          <w:sz w:val="24"/>
          <w:szCs w:val="21"/>
          <w:highlight w:val="none"/>
          <w:lang w:val="en-US" w:eastAsia="zh-CN" w:bidi="ar-SA"/>
        </w:rPr>
        <w:t>11.3.6 乙方因本合同产生的包括但不限于给甲方造成的损失、违约金、处罚款等款项，甲方有权在应付款项中优先扣减，仍不能弥补甲方损失的，甲方有权向乙方继续进行追偿，追偿的费用包括但不限于甲方垫付的费用、诉讼费、保全费、律师代理费等。</w:t>
      </w:r>
    </w:p>
    <w:p w14:paraId="33411E9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11.4跨区域涉税事项报告表</w:t>
      </w:r>
    </w:p>
    <w:p w14:paraId="74FFA1EC">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乙方在劳务合作合同签订后一个月内，应根据合同提供该项目的跨区域涉税事项报告表，以确保该项目能在当地税务机关申报缴纳税费。</w:t>
      </w:r>
    </w:p>
    <w:p w14:paraId="236446B8">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11.5发票的提供</w:t>
      </w:r>
    </w:p>
    <w:p w14:paraId="76783216">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11.5.1乙方应在每期结算确认后，在甲方资金支付前，根据合同内容和结算书内容向甲方出具相应增值税发票。以上条件不满足时，乙方不得向甲方申请支付款项，甲方有权停止支付且由乙方自身承担资金风险。</w:t>
      </w:r>
    </w:p>
    <w:p w14:paraId="67643949">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11.5.2乙方出具发票需同时满足以下原则：</w:t>
      </w:r>
    </w:p>
    <w:p w14:paraId="561BCF0A">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11.5.2.1发票金额</w:t>
      </w:r>
    </w:p>
    <w:p w14:paraId="697892DD">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乙方向甲方开具发票的金额（价税合计）需严格依据“累计确认结算量与资金支付量孰高原则”。</w:t>
      </w:r>
    </w:p>
    <w:p w14:paraId="7E36CABD">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11.5.2.2票面信息</w:t>
      </w:r>
    </w:p>
    <w:p w14:paraId="7460CDAF">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bCs/>
          <w:color w:val="auto"/>
          <w:kern w:val="2"/>
          <w:sz w:val="24"/>
          <w:highlight w:val="none"/>
          <w:lang w:eastAsia="zh-CN"/>
        </w:rPr>
        <w:t>发票票面记载信息需符合“</w:t>
      </w:r>
      <w:r>
        <w:rPr>
          <w:rFonts w:hint="eastAsia" w:ascii="仿宋" w:hAnsi="仿宋" w:eastAsia="仿宋" w:cs="Times New Roman"/>
          <w:bCs/>
          <w:color w:val="auto"/>
          <w:kern w:val="2"/>
          <w:sz w:val="24"/>
          <w:highlight w:val="none"/>
          <w:lang w:val="en-US" w:eastAsia="zh-CN"/>
        </w:rPr>
        <w:t>四</w:t>
      </w:r>
      <w:r>
        <w:rPr>
          <w:rFonts w:hint="eastAsia" w:ascii="仿宋" w:hAnsi="仿宋" w:eastAsia="仿宋" w:cs="Times New Roman"/>
          <w:bCs/>
          <w:color w:val="auto"/>
          <w:kern w:val="2"/>
          <w:sz w:val="24"/>
          <w:highlight w:val="none"/>
          <w:lang w:eastAsia="zh-CN"/>
        </w:rPr>
        <w:t>流一致”原则，包括：①销售方信息需与货物或应税劳务、服务实际提供单位（即乙方）一致，并与实际收款人（即乙方）一致；②货物或应税劳务、服务名称等需与实际业务内容一致；③税率、税额信息与本合同单列的增值税税率、税额一致；④</w:t>
      </w:r>
      <w:r>
        <w:rPr>
          <w:rFonts w:hint="eastAsia" w:ascii="仿宋" w:hAnsi="仿宋" w:eastAsia="仿宋" w:cs="Times New Roman"/>
          <w:color w:val="auto"/>
          <w:kern w:val="2"/>
          <w:sz w:val="24"/>
          <w:highlight w:val="none"/>
          <w:lang w:eastAsia="zh-CN"/>
        </w:rPr>
        <w:t>发票类别（增值税专用发票或普通发票）与本项目的计税方法（一般计税方法或简易计税方法）匹配。</w:t>
      </w:r>
    </w:p>
    <w:p w14:paraId="3216B5B6">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11.6发票提供的责任</w:t>
      </w:r>
    </w:p>
    <w:p w14:paraId="667423C0">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w:t>
      </w:r>
      <w:r>
        <w:rPr>
          <w:rFonts w:hint="eastAsia" w:ascii="仿宋" w:hAnsi="仿宋" w:eastAsia="仿宋" w:cs="Times New Roman"/>
          <w:color w:val="auto"/>
          <w:kern w:val="2"/>
          <w:sz w:val="24"/>
          <w:highlight w:val="none"/>
          <w:lang w:val="en-US" w:eastAsia="zh-CN"/>
        </w:rPr>
        <w:t>利益受损</w:t>
      </w:r>
      <w:r>
        <w:rPr>
          <w:rFonts w:hint="eastAsia" w:ascii="仿宋" w:hAnsi="仿宋" w:eastAsia="仿宋" w:cs="Times New Roman"/>
          <w:color w:val="auto"/>
          <w:kern w:val="2"/>
          <w:sz w:val="24"/>
          <w:highlight w:val="none"/>
          <w:lang w:eastAsia="zh-CN"/>
        </w:rPr>
        <w:t>的，全部损失由乙方承担。</w:t>
      </w:r>
    </w:p>
    <w:p w14:paraId="6A183742">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乙方提供的发票被税务机关通知存在失联状况、异常状况、虚开发票、进项转出等情况的，按以下三项同时处理：（</w:t>
      </w:r>
      <w:r>
        <w:rPr>
          <w:rFonts w:hint="eastAsia" w:ascii="仿宋" w:hAnsi="仿宋" w:eastAsia="仿宋" w:cs="Times New Roman"/>
          <w:color w:val="auto"/>
          <w:kern w:val="2"/>
          <w:sz w:val="24"/>
          <w:highlight w:val="none"/>
          <w:lang w:val="en-US" w:eastAsia="zh-CN"/>
        </w:rPr>
        <w:t>1</w:t>
      </w:r>
      <w:r>
        <w:rPr>
          <w:rFonts w:hint="eastAsia" w:ascii="仿宋" w:hAnsi="仿宋" w:eastAsia="仿宋" w:cs="Times New Roman"/>
          <w:color w:val="auto"/>
          <w:kern w:val="2"/>
          <w:sz w:val="24"/>
          <w:highlight w:val="none"/>
          <w:lang w:eastAsia="zh-CN"/>
        </w:rPr>
        <w:t>）对应进项税额立即转出，并赔偿相应税款；（</w:t>
      </w:r>
      <w:r>
        <w:rPr>
          <w:rFonts w:hint="eastAsia" w:ascii="仿宋" w:hAnsi="仿宋" w:eastAsia="仿宋" w:cs="Times New Roman"/>
          <w:color w:val="auto"/>
          <w:kern w:val="2"/>
          <w:sz w:val="24"/>
          <w:highlight w:val="none"/>
          <w:lang w:val="en-US" w:eastAsia="zh-CN"/>
        </w:rPr>
        <w:t>2</w:t>
      </w:r>
      <w:r>
        <w:rPr>
          <w:rFonts w:hint="eastAsia" w:ascii="仿宋" w:hAnsi="仿宋" w:eastAsia="仿宋" w:cs="Times New Roman"/>
          <w:color w:val="auto"/>
          <w:kern w:val="2"/>
          <w:sz w:val="24"/>
          <w:highlight w:val="none"/>
          <w:lang w:eastAsia="zh-CN"/>
        </w:rPr>
        <w:t>）成本全额转出，相应款项已支付的，需全额追回或扣留相同金额款项；未支付的，不再予以支付；（</w:t>
      </w:r>
      <w:r>
        <w:rPr>
          <w:rFonts w:hint="eastAsia" w:ascii="仿宋" w:hAnsi="仿宋" w:eastAsia="仿宋" w:cs="Times New Roman"/>
          <w:color w:val="auto"/>
          <w:kern w:val="2"/>
          <w:sz w:val="24"/>
          <w:highlight w:val="none"/>
          <w:lang w:val="en-US" w:eastAsia="zh-CN"/>
        </w:rPr>
        <w:t>3</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赔偿</w:t>
      </w:r>
      <w:r>
        <w:rPr>
          <w:rFonts w:hint="eastAsia" w:ascii="仿宋" w:hAnsi="仿宋" w:eastAsia="仿宋" w:cs="Times New Roman"/>
          <w:color w:val="auto"/>
          <w:kern w:val="2"/>
          <w:sz w:val="24"/>
          <w:highlight w:val="none"/>
          <w:lang w:eastAsia="zh-CN"/>
        </w:rPr>
        <w:t>相应进项税额3倍的</w:t>
      </w:r>
      <w:r>
        <w:rPr>
          <w:rFonts w:hint="eastAsia" w:ascii="仿宋" w:hAnsi="仿宋" w:eastAsia="仿宋" w:cs="Times New Roman"/>
          <w:color w:val="auto"/>
          <w:kern w:val="2"/>
          <w:sz w:val="24"/>
          <w:highlight w:val="none"/>
          <w:lang w:val="en-US" w:eastAsia="zh-CN"/>
        </w:rPr>
        <w:t>违约金</w:t>
      </w:r>
      <w:r>
        <w:rPr>
          <w:rFonts w:hint="eastAsia" w:ascii="仿宋" w:hAnsi="仿宋" w:eastAsia="仿宋" w:cs="Times New Roman"/>
          <w:color w:val="auto"/>
          <w:kern w:val="2"/>
          <w:sz w:val="24"/>
          <w:highlight w:val="none"/>
          <w:lang w:eastAsia="zh-CN"/>
        </w:rPr>
        <w:t>。</w:t>
      </w:r>
    </w:p>
    <w:p w14:paraId="0B9990F5">
      <w:pPr>
        <w:framePr w:wrap="auto" w:vAnchor="margin" w:hAnchor="text" w:yAlign="inline"/>
        <w:widowControl w:val="0"/>
        <w:spacing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12.附则</w:t>
      </w:r>
    </w:p>
    <w:p w14:paraId="37E96670">
      <w:pPr>
        <w:framePr w:wrap="auto" w:vAnchor="margin" w:hAnchor="text" w:yAlign="inline"/>
        <w:widowControl w:val="0"/>
        <w:autoSpaceDE w:val="0"/>
        <w:autoSpaceDN w:val="0"/>
        <w:adjustRightInd w:val="0"/>
        <w:spacing w:line="360" w:lineRule="auto"/>
        <w:ind w:firstLine="480" w:firstLineChars="200"/>
        <w:contextualSpacing/>
        <w:jc w:val="left"/>
        <w:rPr>
          <w:rFonts w:hint="eastAsia" w:ascii="仿宋" w:hAnsi="仿宋" w:eastAsia="仿宋" w:cs="仿宋"/>
          <w:bCs/>
          <w:color w:val="auto"/>
          <w:kern w:val="0"/>
          <w:sz w:val="24"/>
          <w:highlight w:val="none"/>
          <w:lang w:eastAsia="zh-CN"/>
        </w:rPr>
      </w:pPr>
      <w:r>
        <w:rPr>
          <w:rFonts w:hint="eastAsia" w:ascii="仿宋" w:hAnsi="仿宋" w:eastAsia="仿宋" w:cs="Times New Roman"/>
          <w:color w:val="auto"/>
          <w:kern w:val="2"/>
          <w:sz w:val="24"/>
          <w:highlight w:val="none"/>
          <w:lang w:eastAsia="zh-CN"/>
        </w:rPr>
        <w:t xml:space="preserve">12.1 </w:t>
      </w:r>
      <w:r>
        <w:rPr>
          <w:rFonts w:hint="eastAsia" w:ascii="仿宋" w:hAnsi="仿宋" w:eastAsia="仿宋" w:cs="仿宋"/>
          <w:color w:val="auto"/>
          <w:kern w:val="0"/>
          <w:sz w:val="24"/>
          <w:highlight w:val="none"/>
          <w:lang w:eastAsia="zh-CN"/>
        </w:rPr>
        <w:t>甲方不允许项目部人员擅自变更本合同以及以甲方或甲方项目部名义对外借款。甲方与乙方之间签订的任何合同、协议、补充合同、承诺书、确认单等均以甲方委派项目经理签字并加盖</w:t>
      </w:r>
      <w:r>
        <w:rPr>
          <w:rFonts w:hint="eastAsia" w:ascii="仿宋" w:hAnsi="仿宋" w:eastAsia="仿宋" w:cs="仿宋"/>
          <w:bCs/>
          <w:color w:val="auto"/>
          <w:kern w:val="0"/>
          <w:sz w:val="24"/>
          <w:highlight w:val="none"/>
          <w:lang w:eastAsia="zh-CN"/>
        </w:rPr>
        <w:t>公司公章或公司合同专用章</w:t>
      </w:r>
      <w:r>
        <w:rPr>
          <w:rFonts w:hint="eastAsia" w:ascii="仿宋" w:hAnsi="仿宋" w:eastAsia="仿宋" w:cs="仿宋"/>
          <w:color w:val="auto"/>
          <w:kern w:val="0"/>
          <w:sz w:val="24"/>
          <w:highlight w:val="none"/>
          <w:lang w:eastAsia="zh-CN"/>
        </w:rPr>
        <w:t>确认（除送货单、对账单、结算单允许盖项目部公章外），除此之外，加盖任何项目部印章、技术资料专用章、项目部财务章或项目部人员签名均对甲方不具有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3DCF74F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12.2本合同发生纠纷时，当事人双方应及时协商解决。若协商不成的，任何一方可向</w:t>
      </w:r>
      <w:r>
        <w:rPr>
          <w:rFonts w:hint="eastAsia" w:ascii="仿宋" w:hAnsi="仿宋" w:eastAsia="仿宋" w:cs="Times New Roman"/>
          <w:color w:val="auto"/>
          <w:kern w:val="2"/>
          <w:sz w:val="24"/>
          <w:highlight w:val="none"/>
          <w:lang w:val="en-US" w:eastAsia="zh-CN"/>
        </w:rPr>
        <w:t>甲方所在地有管辖权的人民法院</w:t>
      </w:r>
      <w:r>
        <w:rPr>
          <w:rFonts w:hint="eastAsia" w:ascii="仿宋" w:hAnsi="仿宋" w:eastAsia="仿宋" w:cs="Times New Roman"/>
          <w:color w:val="auto"/>
          <w:kern w:val="2"/>
          <w:sz w:val="24"/>
          <w:highlight w:val="none"/>
          <w:lang w:eastAsia="zh-CN"/>
        </w:rPr>
        <w:t>提起</w:t>
      </w:r>
      <w:r>
        <w:rPr>
          <w:rFonts w:hint="eastAsia" w:ascii="仿宋" w:hAnsi="仿宋" w:eastAsia="仿宋" w:cs="Times New Roman"/>
          <w:color w:val="auto"/>
          <w:kern w:val="2"/>
          <w:sz w:val="24"/>
          <w:highlight w:val="none"/>
          <w:lang w:val="en-US" w:eastAsia="zh-CN"/>
        </w:rPr>
        <w:t>诉讼</w:t>
      </w:r>
      <w:r>
        <w:rPr>
          <w:rFonts w:hint="eastAsia" w:ascii="仿宋" w:hAnsi="仿宋" w:eastAsia="仿宋" w:cs="Times New Roman"/>
          <w:color w:val="auto"/>
          <w:kern w:val="2"/>
          <w:sz w:val="24"/>
          <w:highlight w:val="none"/>
          <w:lang w:eastAsia="zh-CN"/>
        </w:rPr>
        <w:t>。</w:t>
      </w:r>
    </w:p>
    <w:p w14:paraId="48043788">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12.3本合同一式</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份，甲方执</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份，乙方执</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份，均具有同等效力。</w:t>
      </w:r>
    </w:p>
    <w:p w14:paraId="6BB84B4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12.4本合同若有未尽事宜，经双方协商一致后，可签订补充协议，作为本合同的补充。</w:t>
      </w:r>
    </w:p>
    <w:p w14:paraId="158E4A25">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12.5本合同自双方代表签字、加盖公章之日起生效，工程完工，甲乙双方签订结算协议，各款项支付等合同义务全面履行完毕后终止。</w:t>
      </w:r>
    </w:p>
    <w:p w14:paraId="5908F036">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eastAsia="zh-CN"/>
        </w:rPr>
        <w:t>以下无正文）</w:t>
      </w:r>
    </w:p>
    <w:p w14:paraId="75693C68">
      <w:pPr>
        <w:framePr w:wrap="auto" w:vAnchor="margin" w:hAnchor="text" w:yAlign="inline"/>
        <w:widowControl w:val="0"/>
        <w:spacing w:line="360" w:lineRule="auto"/>
        <w:ind w:firstLine="0" w:firstLineChars="0"/>
        <w:jc w:val="both"/>
        <w:rPr>
          <w:rFonts w:hint="eastAsia" w:ascii="仿宋" w:hAnsi="仿宋" w:eastAsia="仿宋" w:cs="Times New Roman"/>
          <w:b/>
          <w:color w:val="auto"/>
          <w:kern w:val="2"/>
          <w:sz w:val="24"/>
          <w:highlight w:val="none"/>
          <w:lang w:eastAsia="zh-CN"/>
        </w:rPr>
      </w:pPr>
    </w:p>
    <w:p w14:paraId="3273E52A">
      <w:pPr>
        <w:wordWrap w:val="0"/>
        <w:spacing w:before="200" w:after="160"/>
        <w:ind w:left="0" w:right="864"/>
        <w:jc w:val="both"/>
        <w:rPr>
          <w:rFonts w:hint="eastAsia" w:ascii="Times New Roman" w:hAnsi="Times New Roman" w:eastAsia="宋体" w:cs="Times New Roman"/>
          <w:i/>
          <w:iCs/>
          <w:color w:val="auto"/>
          <w:sz w:val="21"/>
          <w:szCs w:val="21"/>
          <w:highlight w:val="none"/>
          <w:lang w:val="en-US" w:eastAsia="zh-CN" w:bidi="ar-SA"/>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473"/>
      </w:tblGrid>
      <w:tr w14:paraId="71684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3DF334D5">
            <w:pPr>
              <w:framePr w:wrap="auto" w:vAnchor="margin" w:hAnchor="text" w:yAlign="inline"/>
              <w:widowControl w:val="0"/>
              <w:spacing w:line="360" w:lineRule="auto"/>
              <w:jc w:val="left"/>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甲 方：</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val="en-US" w:eastAsia="zh-CN"/>
              </w:rPr>
              <w:t>（盖章）</w:t>
            </w:r>
          </w:p>
        </w:tc>
        <w:tc>
          <w:tcPr>
            <w:tcW w:w="4473" w:type="dxa"/>
            <w:noWrap w:val="0"/>
            <w:vAlign w:val="top"/>
          </w:tcPr>
          <w:p w14:paraId="693281A0">
            <w:pPr>
              <w:framePr w:wrap="auto" w:vAnchor="margin" w:hAnchor="text" w:yAlign="inline"/>
              <w:widowControl w:val="0"/>
              <w:spacing w:line="360" w:lineRule="auto"/>
              <w:jc w:val="left"/>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val="en-US" w:eastAsia="zh-CN"/>
              </w:rPr>
              <w:t>乙</w:t>
            </w:r>
            <w:r>
              <w:rPr>
                <w:rFonts w:hint="eastAsia" w:ascii="仿宋" w:hAnsi="仿宋" w:eastAsia="仿宋" w:cs="Times New Roman"/>
                <w:color w:val="auto"/>
                <w:kern w:val="2"/>
                <w:sz w:val="24"/>
                <w:highlight w:val="none"/>
                <w:lang w:eastAsia="zh-CN"/>
              </w:rPr>
              <w:t xml:space="preserve"> 方：</w:t>
            </w:r>
            <w:r>
              <w:rPr>
                <w:rFonts w:hint="eastAsia" w:ascii="仿宋" w:hAnsi="仿宋" w:eastAsia="仿宋" w:cs="Times New Roman"/>
                <w:color w:val="auto"/>
                <w:kern w:val="2"/>
                <w:sz w:val="24"/>
                <w:highlight w:val="none"/>
                <w:u w:val="none"/>
                <w:lang w:val="en-US"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val="en-US" w:eastAsia="zh-CN"/>
              </w:rPr>
              <w:t>（盖章）</w:t>
            </w:r>
          </w:p>
        </w:tc>
      </w:tr>
      <w:tr w14:paraId="35E5D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5E3C03D3">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c>
          <w:tcPr>
            <w:tcW w:w="4473" w:type="dxa"/>
            <w:noWrap w:val="0"/>
            <w:vAlign w:val="top"/>
          </w:tcPr>
          <w:p w14:paraId="221EBB9E">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r>
      <w:tr w14:paraId="555C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5DAE6207">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0E38FD8D">
            <w:pPr>
              <w:framePr w:wrap="auto" w:vAnchor="margin" w:hAnchor="text" w:yAlign="inline"/>
              <w:widowControl w:val="0"/>
              <w:spacing w:line="360" w:lineRule="auto"/>
              <w:jc w:val="both"/>
              <w:rPr>
                <w:rFonts w:hint="default" w:ascii="仿宋" w:hAnsi="仿宋" w:eastAsia="仿宋" w:cs="Times New Roman"/>
                <w:color w:val="auto"/>
                <w:kern w:val="2"/>
                <w:sz w:val="24"/>
                <w:highlight w:val="none"/>
                <w:vertAlign w:val="baseline"/>
                <w:lang w:val="en-US"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r>
      <w:tr w14:paraId="1C62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5F13D044">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val="en-US" w:eastAsia="zh-CN"/>
              </w:rPr>
            </w:pPr>
            <w:r>
              <w:rPr>
                <w:rFonts w:hint="eastAsia" w:ascii="仿宋" w:hAnsi="仿宋" w:eastAsia="仿宋" w:cs="Times New Roman"/>
                <w:color w:val="auto"/>
                <w:kern w:val="2"/>
                <w:sz w:val="24"/>
                <w:highlight w:val="none"/>
                <w:lang w:eastAsia="zh-CN"/>
              </w:rPr>
              <w:t>电    话：</w:t>
            </w:r>
          </w:p>
        </w:tc>
        <w:tc>
          <w:tcPr>
            <w:tcW w:w="4473" w:type="dxa"/>
            <w:noWrap w:val="0"/>
            <w:vAlign w:val="top"/>
          </w:tcPr>
          <w:p w14:paraId="237A5A30">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电    话：</w:t>
            </w:r>
          </w:p>
        </w:tc>
      </w:tr>
      <w:tr w14:paraId="2131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3EABF2BC">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val="en-US" w:eastAsia="zh-CN"/>
              </w:rPr>
            </w:pPr>
            <w:r>
              <w:rPr>
                <w:rFonts w:hint="eastAsia" w:ascii="仿宋" w:hAnsi="仿宋" w:eastAsia="仿宋" w:cs="Times New Roman"/>
                <w:color w:val="auto"/>
                <w:kern w:val="2"/>
                <w:sz w:val="24"/>
                <w:highlight w:val="none"/>
                <w:lang w:eastAsia="zh-CN"/>
              </w:rPr>
              <w:t>开户银行：</w:t>
            </w:r>
          </w:p>
        </w:tc>
        <w:tc>
          <w:tcPr>
            <w:tcW w:w="4473" w:type="dxa"/>
            <w:noWrap w:val="0"/>
            <w:vAlign w:val="top"/>
          </w:tcPr>
          <w:p w14:paraId="1E535342">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vertAlign w:val="baseline"/>
                <w:lang w:eastAsia="zh-CN"/>
              </w:rPr>
            </w:pPr>
            <w:r>
              <w:rPr>
                <w:rFonts w:hint="eastAsia" w:ascii="仿宋" w:hAnsi="仿宋" w:eastAsia="仿宋" w:cs="Times New Roman"/>
                <w:color w:val="auto"/>
                <w:kern w:val="2"/>
                <w:sz w:val="24"/>
                <w:highlight w:val="none"/>
                <w:lang w:eastAsia="zh-CN"/>
              </w:rPr>
              <w:t>开户银行：</w:t>
            </w:r>
          </w:p>
        </w:tc>
      </w:tr>
      <w:tr w14:paraId="44570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3D465843">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4D43F77F">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r>
      <w:tr w14:paraId="00C3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68418922">
            <w:pPr>
              <w:framePr w:wrap="auto" w:vAnchor="margin" w:hAnchor="text" w:yAlign="inline"/>
              <w:widowControl w:val="0"/>
              <w:spacing w:line="360" w:lineRule="auto"/>
              <w:jc w:val="both"/>
              <w:rPr>
                <w:rFonts w:hint="default" w:ascii="仿宋" w:hAnsi="仿宋" w:eastAsia="仿宋_GB2312"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签</w:t>
            </w:r>
            <w:r>
              <w:rPr>
                <w:rFonts w:hint="eastAsia" w:ascii="仿宋" w:hAnsi="仿宋" w:eastAsia="仿宋" w:cs="仿宋"/>
                <w:color w:val="auto"/>
                <w:kern w:val="2"/>
                <w:sz w:val="24"/>
                <w:highlight w:val="none"/>
                <w:lang w:eastAsia="zh-CN"/>
              </w:rPr>
              <w:t>订时间：</w:t>
            </w:r>
            <w:r>
              <w:rPr>
                <w:rFonts w:hint="eastAsia" w:ascii="仿宋" w:hAnsi="仿宋" w:eastAsia="仿宋" w:cs="仿宋"/>
                <w:color w:val="auto"/>
                <w:kern w:val="2"/>
                <w:sz w:val="24"/>
                <w:highlight w:val="none"/>
                <w:lang w:val="en-US" w:eastAsia="zh-CN"/>
              </w:rPr>
              <w:t xml:space="preserve">  年  月  日</w:t>
            </w:r>
          </w:p>
        </w:tc>
        <w:tc>
          <w:tcPr>
            <w:tcW w:w="4473" w:type="dxa"/>
            <w:noWrap w:val="0"/>
            <w:vAlign w:val="top"/>
          </w:tcPr>
          <w:p w14:paraId="4F065D62">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签订时间</w:t>
            </w:r>
            <w:r>
              <w:rPr>
                <w:rFonts w:hint="eastAsia" w:ascii="仿宋_GB2312" w:hAnsi="Times New Roman" w:eastAsia="仿宋_GB2312" w:cs="Times New Roman"/>
                <w:color w:val="auto"/>
                <w:kern w:val="2"/>
                <w:sz w:val="24"/>
                <w:highlight w:val="none"/>
                <w:lang w:eastAsia="zh-CN"/>
              </w:rPr>
              <w:t>：</w:t>
            </w:r>
            <w:r>
              <w:rPr>
                <w:rFonts w:hint="eastAsia" w:ascii="仿宋" w:hAnsi="仿宋" w:eastAsia="仿宋" w:cs="仿宋"/>
                <w:color w:val="auto"/>
                <w:kern w:val="2"/>
                <w:sz w:val="24"/>
                <w:highlight w:val="none"/>
                <w:lang w:val="en-US" w:eastAsia="zh-CN"/>
              </w:rPr>
              <w:t xml:space="preserve">  年   月  日</w:t>
            </w:r>
          </w:p>
        </w:tc>
      </w:tr>
    </w:tbl>
    <w:p w14:paraId="0C585DD6">
      <w:pPr>
        <w:framePr w:wrap="auto" w:vAnchor="margin" w:hAnchor="text" w:yAlign="inline"/>
        <w:rPr>
          <w:rFonts w:hint="eastAsia" w:ascii="仿宋" w:hAnsi="仿宋" w:eastAsia="仿宋"/>
          <w:color w:val="auto"/>
          <w:kern w:val="21"/>
          <w:sz w:val="36"/>
          <w:highlight w:val="none"/>
          <w:lang w:eastAsia="zh-CN"/>
        </w:rPr>
      </w:pPr>
      <w:r>
        <w:rPr>
          <w:rFonts w:hint="eastAsia" w:ascii="仿宋" w:hAnsi="仿宋" w:eastAsia="仿宋"/>
          <w:color w:val="auto"/>
          <w:kern w:val="21"/>
          <w:sz w:val="36"/>
          <w:highlight w:val="none"/>
          <w:lang w:eastAsia="zh-CN"/>
        </w:rPr>
        <w:br w:type="page"/>
      </w:r>
    </w:p>
    <w:p w14:paraId="76D24B40">
      <w:pPr>
        <w:framePr w:wrap="auto" w:vAnchor="margin" w:hAnchor="text" w:yAlign="inline"/>
        <w:widowControl w:val="0"/>
        <w:jc w:val="both"/>
        <w:rPr>
          <w:rFonts w:hint="eastAsia" w:ascii="仿宋" w:hAnsi="仿宋" w:eastAsia="仿宋"/>
          <w:color w:val="auto"/>
          <w:kern w:val="21"/>
          <w:sz w:val="36"/>
          <w:highlight w:val="none"/>
          <w:lang w:eastAsia="zh-CN"/>
        </w:rPr>
      </w:pPr>
    </w:p>
    <w:p w14:paraId="4C92C5CA">
      <w:pPr>
        <w:framePr w:wrap="auto" w:vAnchor="margin" w:hAnchor="text" w:yAlign="inline"/>
        <w:widowControl w:val="0"/>
        <w:jc w:val="center"/>
        <w:rPr>
          <w:rFonts w:hint="eastAsia" w:ascii="仿宋" w:hAnsi="仿宋" w:eastAsia="仿宋"/>
          <w:color w:val="auto"/>
          <w:kern w:val="21"/>
          <w:sz w:val="36"/>
          <w:highlight w:val="none"/>
          <w:lang w:eastAsia="zh-CN"/>
        </w:rPr>
      </w:pPr>
      <w:r>
        <w:rPr>
          <w:rFonts w:hint="eastAsia" w:ascii="仿宋" w:hAnsi="仿宋" w:eastAsia="仿宋"/>
          <w:color w:val="auto"/>
          <w:kern w:val="21"/>
          <w:sz w:val="36"/>
          <w:highlight w:val="none"/>
          <w:lang w:eastAsia="zh-CN"/>
        </w:rPr>
        <w:t>安 全 生 产 责 任 书</w:t>
      </w:r>
    </w:p>
    <w:p w14:paraId="7942EFF9">
      <w:pPr>
        <w:framePr w:wrap="auto" w:vAnchor="margin" w:hAnchor="text" w:yAlign="inline"/>
        <w:widowControl w:val="0"/>
        <w:jc w:val="center"/>
        <w:rPr>
          <w:rFonts w:hint="eastAsia" w:ascii="仿宋" w:hAnsi="仿宋" w:eastAsia="仿宋"/>
          <w:b/>
          <w:color w:val="auto"/>
          <w:kern w:val="21"/>
          <w:sz w:val="24"/>
          <w:highlight w:val="none"/>
          <w:lang w:eastAsia="zh-CN"/>
        </w:rPr>
      </w:pPr>
    </w:p>
    <w:p w14:paraId="3BFD2E92">
      <w:pPr>
        <w:framePr w:wrap="auto" w:vAnchor="margin" w:hAnchor="text" w:yAlign="inline"/>
        <w:widowControl w:val="0"/>
        <w:spacing w:line="360" w:lineRule="auto"/>
        <w:jc w:val="both"/>
        <w:rPr>
          <w:rFonts w:hint="eastAsia" w:ascii="仿宋" w:hAnsi="仿宋" w:eastAsia="仿宋"/>
          <w:color w:val="auto"/>
          <w:kern w:val="21"/>
          <w:sz w:val="24"/>
          <w:highlight w:val="none"/>
          <w:u w:val="single"/>
          <w:lang w:eastAsia="zh-CN"/>
        </w:rPr>
      </w:pPr>
      <w:r>
        <w:rPr>
          <w:rFonts w:hint="eastAsia" w:ascii="仿宋" w:hAnsi="仿宋" w:eastAsia="仿宋"/>
          <w:color w:val="auto"/>
          <w:kern w:val="21"/>
          <w:sz w:val="24"/>
          <w:highlight w:val="none"/>
          <w:lang w:eastAsia="zh-CN"/>
        </w:rPr>
        <w:t>甲方：</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u w:val="single"/>
          <w:lang w:eastAsia="zh-CN"/>
        </w:rPr>
        <w:t xml:space="preserve">  </w:t>
      </w:r>
    </w:p>
    <w:p w14:paraId="11D42E62">
      <w:pPr>
        <w:framePr w:wrap="auto" w:vAnchor="margin" w:hAnchor="text" w:yAlign="inline"/>
        <w:widowControl w:val="0"/>
        <w:spacing w:line="360" w:lineRule="auto"/>
        <w:jc w:val="both"/>
        <w:rPr>
          <w:rFonts w:hint="eastAsia" w:ascii="仿宋" w:hAnsi="仿宋" w:eastAsia="仿宋"/>
          <w:b/>
          <w:color w:val="auto"/>
          <w:kern w:val="21"/>
          <w:sz w:val="24"/>
          <w:highlight w:val="none"/>
          <w:lang w:eastAsia="zh-CN"/>
        </w:rPr>
      </w:pPr>
      <w:r>
        <w:rPr>
          <w:rFonts w:hint="eastAsia" w:ascii="仿宋" w:hAnsi="仿宋" w:eastAsia="仿宋"/>
          <w:color w:val="auto"/>
          <w:kern w:val="21"/>
          <w:sz w:val="24"/>
          <w:highlight w:val="none"/>
          <w:lang w:eastAsia="zh-CN"/>
        </w:rPr>
        <w:t>乙方：</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b/>
          <w:color w:val="auto"/>
          <w:kern w:val="21"/>
          <w:sz w:val="24"/>
          <w:highlight w:val="none"/>
          <w:u w:val="single"/>
          <w:lang w:val="en-US" w:eastAsia="zh-CN"/>
        </w:rPr>
        <w:t xml:space="preserve"> </w:t>
      </w:r>
      <w:r>
        <w:rPr>
          <w:rFonts w:hint="eastAsia" w:ascii="仿宋" w:hAnsi="仿宋" w:eastAsia="仿宋"/>
          <w:b/>
          <w:color w:val="auto"/>
          <w:kern w:val="21"/>
          <w:sz w:val="24"/>
          <w:highlight w:val="none"/>
          <w:lang w:eastAsia="zh-CN"/>
        </w:rPr>
        <w:t xml:space="preserve"> </w:t>
      </w:r>
    </w:p>
    <w:p w14:paraId="7D433673">
      <w:pPr>
        <w:framePr w:wrap="auto" w:vAnchor="margin" w:hAnchor="text" w:yAlign="inline"/>
        <w:widowControl w:val="0"/>
        <w:spacing w:line="360" w:lineRule="auto"/>
        <w:jc w:val="both"/>
        <w:rPr>
          <w:rFonts w:hint="eastAsia" w:ascii="仿宋" w:hAnsi="仿宋" w:eastAsia="仿宋"/>
          <w:b/>
          <w:color w:val="auto"/>
          <w:kern w:val="21"/>
          <w:sz w:val="24"/>
          <w:highlight w:val="none"/>
          <w:lang w:eastAsia="zh-CN"/>
        </w:rPr>
      </w:pPr>
    </w:p>
    <w:p w14:paraId="1B992125">
      <w:pPr>
        <w:framePr w:wrap="auto" w:vAnchor="margin" w:hAnchor="text" w:yAlign="inline"/>
        <w:widowControl w:val="0"/>
        <w:tabs>
          <w:tab w:val="left" w:pos="1155"/>
        </w:tabs>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一、根据《中华人民共和国安全生产法》、</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安全生产制度及</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与项目经理部签订的《安全生产责任书》，为明确甲、乙双方的安全生产责任，落实安全生产责任制，实现</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及项目部确定的经营目标和安全生产目标，签订本责任书。</w:t>
      </w:r>
    </w:p>
    <w:p w14:paraId="602030F2">
      <w:pPr>
        <w:framePr w:wrap="auto" w:vAnchor="margin" w:hAnchor="text" w:yAlign="inline"/>
        <w:widowControl w:val="0"/>
        <w:tabs>
          <w:tab w:val="left" w:pos="1050"/>
        </w:tabs>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二、甲方责任</w:t>
      </w:r>
    </w:p>
    <w:p w14:paraId="3DAF302F">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（一）建立健全本项目经理部安全生产责任制。</w:t>
      </w:r>
    </w:p>
    <w:p w14:paraId="735A0FF0">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（二）组织制定本项目经理部安全生产规章制度和操作规程。</w:t>
      </w:r>
    </w:p>
    <w:p w14:paraId="67C58ADF">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（三）负责对乙方进行必要的安全技术交底。</w:t>
      </w:r>
    </w:p>
    <w:p w14:paraId="7FB8361A">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（四）督促、检查乙方的安全生产工作，并对乙方作业中的不安全因素或安全隐患提出整改措施。</w:t>
      </w:r>
    </w:p>
    <w:p w14:paraId="14454206">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（五）对乙方安全生产进行考核，</w:t>
      </w:r>
      <w:r>
        <w:rPr>
          <w:rFonts w:hint="eastAsia" w:ascii="仿宋" w:hAnsi="仿宋" w:eastAsia="仿宋" w:cs="宋体"/>
          <w:color w:val="auto"/>
          <w:kern w:val="21"/>
          <w:sz w:val="24"/>
          <w:highlight w:val="none"/>
          <w:lang w:eastAsia="zh-CN"/>
        </w:rPr>
        <w:t>不达标</w:t>
      </w:r>
      <w:r>
        <w:rPr>
          <w:rFonts w:hint="eastAsia" w:ascii="仿宋" w:hAnsi="仿宋" w:eastAsia="仿宋"/>
          <w:color w:val="auto"/>
          <w:kern w:val="21"/>
          <w:sz w:val="24"/>
          <w:highlight w:val="none"/>
          <w:lang w:eastAsia="zh-CN"/>
        </w:rPr>
        <w:t>时，甲方有权清退乙方。</w:t>
      </w:r>
    </w:p>
    <w:p w14:paraId="1BC6841D">
      <w:pPr>
        <w:framePr w:wrap="auto" w:vAnchor="margin" w:hAnchor="text" w:yAlign="inline"/>
        <w:widowControl w:val="0"/>
        <w:tabs>
          <w:tab w:val="left" w:pos="0"/>
        </w:tabs>
        <w:spacing w:line="360" w:lineRule="auto"/>
        <w:ind w:firstLine="54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（六）对乙方安全生产责任人进行奖励或处罚。</w:t>
      </w:r>
    </w:p>
    <w:p w14:paraId="7EC5F6A0">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三、乙方责任</w:t>
      </w:r>
    </w:p>
    <w:p w14:paraId="2DFFE581">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（一）乙方负责人、或与甲方合同的签订者为乙方安全生产责任人，对乙方的安全生产负全面责任。</w:t>
      </w:r>
    </w:p>
    <w:p w14:paraId="78B466A7">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（二）服从甲方的安全管理，执行甲方对安全生产的各项决议。</w:t>
      </w:r>
    </w:p>
    <w:p w14:paraId="1A98AEFC">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（三）乙方确定</w:t>
      </w:r>
      <w:r>
        <w:rPr>
          <w:rFonts w:hint="eastAsia" w:ascii="仿宋" w:hAnsi="仿宋" w:eastAsia="仿宋"/>
          <w:color w:val="auto"/>
          <w:kern w:val="21"/>
          <w:sz w:val="24"/>
          <w:highlight w:val="none"/>
          <w:u w:val="single"/>
          <w:lang w:val="en-US" w:eastAsia="zh-CN"/>
        </w:rPr>
        <w:t xml:space="preserve">   </w:t>
      </w:r>
      <w:r>
        <w:rPr>
          <w:rFonts w:hint="eastAsia" w:ascii="仿宋" w:hAnsi="仿宋" w:eastAsia="仿宋"/>
          <w:color w:val="auto"/>
          <w:kern w:val="21"/>
          <w:sz w:val="24"/>
          <w:highlight w:val="none"/>
          <w:lang w:eastAsia="zh-CN"/>
        </w:rPr>
        <w:t>为现场安全生产管理人员（兼职安全员），具体负责本班组的日常安全生产工作。</w:t>
      </w:r>
    </w:p>
    <w:p w14:paraId="0E0B6C46">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（四）乙方必须严格执行国家和部门的有关安全规范和技术标准，遵守</w:t>
      </w:r>
      <w:r>
        <w:rPr>
          <w:rFonts w:hint="eastAsia" w:ascii="仿宋" w:hAnsi="仿宋" w:eastAsia="仿宋"/>
          <w:color w:val="auto"/>
          <w:kern w:val="21"/>
          <w:sz w:val="24"/>
          <w:highlight w:val="none"/>
          <w:u w:val="single"/>
          <w:lang w:eastAsia="zh-CN"/>
        </w:rPr>
        <w:t>广东高丰建设工程有限公司</w:t>
      </w:r>
      <w:r>
        <w:rPr>
          <w:rFonts w:hint="eastAsia" w:ascii="仿宋" w:hAnsi="仿宋" w:eastAsia="仿宋"/>
          <w:color w:val="auto"/>
          <w:kern w:val="21"/>
          <w:sz w:val="24"/>
          <w:highlight w:val="none"/>
          <w:lang w:eastAsia="zh-CN"/>
        </w:rPr>
        <w:t>和项目部的安全管理规章制度和劳动纪律，严格遵守安全操作规程。</w:t>
      </w:r>
    </w:p>
    <w:p w14:paraId="62449767">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（五）保证本项目安全生产投入的有效实施，为作业人员提供安全的劳动条件和作业场所。</w:t>
      </w:r>
    </w:p>
    <w:p w14:paraId="7871D317">
      <w:pPr>
        <w:framePr w:wrap="auto" w:vAnchor="margin" w:hAnchor="text" w:yAlign="inline"/>
        <w:widowControl w:val="0"/>
        <w:spacing w:line="360" w:lineRule="auto"/>
        <w:ind w:firstLine="240" w:firstLineChars="1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（六）乙方自配机械设备、工具（器）和劳动用品必须符合有关国家安全标准，符合工程项目相关作业的安全技术要求。施工人员作业时必须自觉使用和维护现场一切安全设施和劳保用品。</w:t>
      </w:r>
    </w:p>
    <w:p w14:paraId="7DEC581F">
      <w:pPr>
        <w:framePr w:wrap="around" w:vAnchor="page" w:hAnchor="page" w:x="580" w:y="985"/>
        <w:wordWrap w:val="0"/>
        <w:spacing w:before="200" w:after="160"/>
        <w:ind w:left="0" w:leftChars="0" w:right="864" w:firstLine="0" w:firstLineChars="0"/>
        <w:jc w:val="both"/>
        <w:rPr>
          <w:rFonts w:hint="eastAsia" w:ascii="Times New Roman" w:hAnsi="Times New Roman" w:eastAsia="宋体" w:cs="Times New Roman"/>
          <w:i/>
          <w:iCs/>
          <w:color w:val="auto"/>
          <w:sz w:val="21"/>
          <w:szCs w:val="21"/>
          <w:highlight w:val="none"/>
          <w:lang w:val="en-US" w:eastAsia="zh-CN" w:bidi="ar-SA"/>
        </w:rPr>
      </w:pPr>
    </w:p>
    <w:p w14:paraId="3846BD3B">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（七）乙方从事特种作业人员必须持有有效的特种作业操作证才能上岗，并接受甲方有关部门的考核；特种作业人员人数必须满足甲方的生产要求。</w:t>
      </w:r>
    </w:p>
    <w:p w14:paraId="75C6520A">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（八）发现施工现场存在不安全因素或隐患，乙方有义务及时向甲方反映。</w:t>
      </w:r>
    </w:p>
    <w:p w14:paraId="242C1BA4">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（九）乙方应按甲方规定，每月负责组织本班组进行一次定期安全学习。新工人进场后必须接受岗前安全教育才能上岗。</w:t>
      </w:r>
    </w:p>
    <w:p w14:paraId="4908F5C9">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（十）乙方必须负责为本班组作业人员购买工伤社会保险，其费用由乙方承担。</w:t>
      </w:r>
    </w:p>
    <w:p w14:paraId="6C2FF911">
      <w:pPr>
        <w:framePr w:wrap="auto" w:vAnchor="margin" w:hAnchor="text" w:yAlign="inline"/>
        <w:widowControl w:val="0"/>
        <w:spacing w:line="360" w:lineRule="auto"/>
        <w:ind w:firstLine="460" w:firstLineChars="192"/>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（十一）在工地范围内，乙方因违反消防条例和相关管理规定造成火灾事故，由乙方负责。</w:t>
      </w:r>
    </w:p>
    <w:p w14:paraId="3E3F33F8">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四、责任追究</w:t>
      </w:r>
    </w:p>
    <w:p w14:paraId="5B3EA5A3">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（一）如果由于非甲方原因在施工中发生安全事故，其责任由乙方承担，费用及一切后果由乙方自负。情节严重的，交由司法机关直接追究其刑事责任。</w:t>
      </w:r>
    </w:p>
    <w:p w14:paraId="1F7C5430">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（二）如遇纠纷，双方不能协商解决，提交</w:t>
      </w:r>
      <w:r>
        <w:rPr>
          <w:rFonts w:hint="eastAsia" w:ascii="仿宋" w:hAnsi="仿宋" w:eastAsia="仿宋"/>
          <w:color w:val="auto"/>
          <w:kern w:val="21"/>
          <w:sz w:val="24"/>
          <w:highlight w:val="none"/>
          <w:lang w:val="en-US" w:eastAsia="zh-CN"/>
        </w:rPr>
        <w:t>工程所在地有管辖权的人民法院诉讼</w:t>
      </w:r>
      <w:r>
        <w:rPr>
          <w:rFonts w:hint="eastAsia" w:ascii="仿宋" w:hAnsi="仿宋" w:eastAsia="仿宋"/>
          <w:color w:val="auto"/>
          <w:kern w:val="21"/>
          <w:sz w:val="24"/>
          <w:highlight w:val="none"/>
          <w:lang w:eastAsia="zh-CN"/>
        </w:rPr>
        <w:t>解决。</w:t>
      </w:r>
    </w:p>
    <w:p w14:paraId="3DADA8BE">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五、本责任书</w:t>
      </w:r>
      <w:r>
        <w:rPr>
          <w:rFonts w:hint="eastAsia" w:ascii="仿宋" w:hAnsi="仿宋" w:eastAsia="仿宋"/>
          <w:color w:val="auto"/>
          <w:kern w:val="21"/>
          <w:sz w:val="24"/>
          <w:highlight w:val="none"/>
          <w:lang w:val="en-US" w:eastAsia="zh-CN"/>
        </w:rPr>
        <w:t>系</w:t>
      </w:r>
      <w:r>
        <w:rPr>
          <w:rFonts w:hint="eastAsia" w:ascii="仿宋" w:hAnsi="仿宋" w:eastAsia="仿宋"/>
          <w:color w:val="auto"/>
          <w:kern w:val="21"/>
          <w:sz w:val="24"/>
          <w:highlight w:val="none"/>
          <w:lang w:eastAsia="zh-CN"/>
        </w:rPr>
        <w:t>双方签订的《</w:t>
      </w:r>
      <w:r>
        <w:rPr>
          <w:rFonts w:hint="eastAsia" w:ascii="仿宋" w:hAnsi="仿宋" w:eastAsia="仿宋"/>
          <w:color w:val="auto"/>
          <w:kern w:val="21"/>
          <w:sz w:val="24"/>
          <w:highlight w:val="none"/>
          <w:lang w:val="en-US" w:eastAsia="zh-CN"/>
        </w:rPr>
        <w:t>劳务合作</w:t>
      </w:r>
      <w:r>
        <w:rPr>
          <w:rFonts w:hint="eastAsia" w:ascii="仿宋" w:hAnsi="仿宋" w:eastAsia="仿宋"/>
          <w:color w:val="auto"/>
          <w:kern w:val="21"/>
          <w:sz w:val="24"/>
          <w:highlight w:val="none"/>
          <w:lang w:eastAsia="zh-CN"/>
        </w:rPr>
        <w:t>合同（</w:t>
      </w:r>
      <w:r>
        <w:rPr>
          <w:rFonts w:hint="eastAsia" w:ascii="仿宋" w:hAnsi="仿宋" w:eastAsia="仿宋"/>
          <w:color w:val="auto"/>
          <w:kern w:val="21"/>
          <w:sz w:val="24"/>
          <w:highlight w:val="none"/>
          <w:lang w:val="en-US" w:eastAsia="zh-CN"/>
        </w:rPr>
        <w:t>二</w:t>
      </w:r>
      <w:r>
        <w:rPr>
          <w:rFonts w:hint="eastAsia" w:ascii="仿宋" w:hAnsi="仿宋" w:eastAsia="仿宋"/>
          <w:color w:val="auto"/>
          <w:kern w:val="21"/>
          <w:sz w:val="24"/>
          <w:highlight w:val="none"/>
          <w:lang w:eastAsia="zh-CN"/>
        </w:rPr>
        <w:t>）》</w:t>
      </w:r>
      <w:r>
        <w:rPr>
          <w:rFonts w:hint="eastAsia" w:ascii="仿宋" w:hAnsi="仿宋" w:eastAsia="仿宋"/>
          <w:color w:val="auto"/>
          <w:kern w:val="21"/>
          <w:sz w:val="24"/>
          <w:highlight w:val="none"/>
          <w:lang w:val="en-US" w:eastAsia="zh-CN"/>
        </w:rPr>
        <w:t>的有效组成部分</w:t>
      </w:r>
      <w:r>
        <w:rPr>
          <w:rFonts w:hint="eastAsia" w:ascii="仿宋" w:hAnsi="仿宋" w:eastAsia="仿宋"/>
          <w:color w:val="auto"/>
          <w:kern w:val="21"/>
          <w:sz w:val="24"/>
          <w:highlight w:val="none"/>
          <w:lang w:eastAsia="zh-CN"/>
        </w:rPr>
        <w:t>。</w:t>
      </w:r>
    </w:p>
    <w:p w14:paraId="71D08D33">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六、本责任书从双方签订《劳务合作合同（二）》之日起生效，到工程完工《劳务合作合同（二）》终止后自动终止。</w:t>
      </w:r>
    </w:p>
    <w:p w14:paraId="38DBA5E9">
      <w:pPr>
        <w:framePr w:wrap="auto" w:vAnchor="margin" w:hAnchor="text" w:yAlign="inline"/>
        <w:widowControl w:val="0"/>
        <w:spacing w:line="360" w:lineRule="auto"/>
        <w:ind w:firstLine="480" w:firstLineChars="2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七、本协议一式</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份，甲乙双方各执</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份，</w:t>
      </w:r>
      <w:r>
        <w:rPr>
          <w:rFonts w:hint="eastAsia" w:ascii="仿宋" w:hAnsi="仿宋" w:eastAsia="仿宋"/>
          <w:color w:val="auto"/>
          <w:kern w:val="21"/>
          <w:sz w:val="24"/>
          <w:highlight w:val="none"/>
          <w:lang w:val="en-US" w:eastAsia="zh-CN"/>
        </w:rPr>
        <w:t>一份用于</w:t>
      </w:r>
      <w:r>
        <w:rPr>
          <w:rFonts w:hint="eastAsia" w:ascii="仿宋" w:hAnsi="仿宋" w:eastAsia="仿宋"/>
          <w:color w:val="auto"/>
          <w:kern w:val="21"/>
          <w:sz w:val="24"/>
          <w:highlight w:val="none"/>
          <w:lang w:eastAsia="zh-CN"/>
        </w:rPr>
        <w:t>备案。</w:t>
      </w:r>
    </w:p>
    <w:p w14:paraId="271316D2">
      <w:pPr>
        <w:framePr w:wrap="auto" w:vAnchor="margin" w:hAnchor="text" w:yAlign="inline"/>
        <w:widowControl w:val="0"/>
        <w:spacing w:line="360" w:lineRule="auto"/>
        <w:jc w:val="both"/>
        <w:rPr>
          <w:rFonts w:hint="eastAsia" w:ascii="仿宋" w:hAnsi="仿宋" w:eastAsia="仿宋"/>
          <w:color w:val="auto"/>
          <w:kern w:val="21"/>
          <w:sz w:val="24"/>
          <w:highlight w:val="none"/>
          <w:lang w:eastAsia="zh-CN"/>
        </w:rPr>
      </w:pPr>
    </w:p>
    <w:p w14:paraId="0A471F3C">
      <w:pPr>
        <w:framePr w:wrap="auto" w:vAnchor="margin" w:hAnchor="text" w:yAlign="inline"/>
        <w:widowControl w:val="0"/>
        <w:spacing w:line="480" w:lineRule="auto"/>
        <w:ind w:right="916" w:firstLine="720" w:firstLineChars="300"/>
        <w:jc w:val="both"/>
        <w:rPr>
          <w:rFonts w:hint="eastAsia" w:ascii="仿宋" w:hAnsi="仿宋" w:eastAsia="仿宋"/>
          <w:b/>
          <w:color w:val="auto"/>
          <w:kern w:val="21"/>
          <w:sz w:val="24"/>
          <w:highlight w:val="none"/>
          <w:lang w:eastAsia="zh-CN"/>
        </w:rPr>
      </w:pPr>
      <w:r>
        <w:rPr>
          <w:rFonts w:hint="eastAsia" w:ascii="仿宋" w:hAnsi="仿宋" w:eastAsia="仿宋"/>
          <w:color w:val="auto"/>
          <w:kern w:val="21"/>
          <w:sz w:val="24"/>
          <w:highlight w:val="none"/>
          <w:lang w:eastAsia="zh-CN"/>
        </w:rPr>
        <w:t>甲方（盖章）：                    乙方（盖章）：</w:t>
      </w:r>
    </w:p>
    <w:p w14:paraId="7B5570D4">
      <w:pPr>
        <w:framePr w:wrap="auto" w:vAnchor="margin" w:hAnchor="text" w:yAlign="inline"/>
        <w:widowControl w:val="0"/>
        <w:spacing w:line="480" w:lineRule="auto"/>
        <w:ind w:firstLine="720" w:firstLineChars="300"/>
        <w:jc w:val="both"/>
        <w:rPr>
          <w:rFonts w:hint="eastAsia" w:ascii="仿宋" w:hAnsi="仿宋" w:eastAsia="仿宋"/>
          <w:color w:val="auto"/>
          <w:kern w:val="21"/>
          <w:sz w:val="24"/>
          <w:highlight w:val="none"/>
          <w:lang w:eastAsia="zh-CN"/>
        </w:rPr>
      </w:pPr>
      <w:r>
        <w:rPr>
          <w:rFonts w:hint="eastAsia" w:ascii="仿宋" w:hAnsi="仿宋" w:eastAsia="仿宋"/>
          <w:color w:val="auto"/>
          <w:kern w:val="21"/>
          <w:sz w:val="24"/>
          <w:highlight w:val="none"/>
          <w:lang w:eastAsia="zh-CN"/>
        </w:rPr>
        <w:t>项目负责人：                      负责人：</w:t>
      </w:r>
    </w:p>
    <w:p w14:paraId="6C6E329F">
      <w:pPr>
        <w:framePr w:wrap="auto" w:vAnchor="margin" w:hAnchor="text" w:yAlign="inline"/>
        <w:widowControl w:val="0"/>
        <w:spacing w:line="480" w:lineRule="auto"/>
        <w:ind w:firstLine="720" w:firstLineChars="300"/>
        <w:jc w:val="both"/>
        <w:rPr>
          <w:rFonts w:eastAsia="宋体"/>
          <w:color w:val="auto"/>
          <w:kern w:val="21"/>
          <w:sz w:val="21"/>
          <w:highlight w:val="none"/>
          <w:lang w:eastAsia="zh-CN"/>
        </w:rPr>
      </w:pP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年</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月</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 xml:space="preserve">日              </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 xml:space="preserve"> </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年</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月</w:t>
      </w:r>
      <w:r>
        <w:rPr>
          <w:rFonts w:hint="eastAsia" w:ascii="仿宋" w:hAnsi="仿宋" w:eastAsia="仿宋"/>
          <w:color w:val="auto"/>
          <w:kern w:val="21"/>
          <w:sz w:val="24"/>
          <w:highlight w:val="none"/>
          <w:lang w:val="en-US" w:eastAsia="zh-CN"/>
        </w:rPr>
        <w:t xml:space="preserve">    </w:t>
      </w:r>
      <w:r>
        <w:rPr>
          <w:rFonts w:hint="eastAsia" w:ascii="仿宋" w:hAnsi="仿宋" w:eastAsia="仿宋"/>
          <w:color w:val="auto"/>
          <w:kern w:val="21"/>
          <w:sz w:val="24"/>
          <w:highlight w:val="none"/>
          <w:lang w:eastAsia="zh-CN"/>
        </w:rPr>
        <w:t>日</w:t>
      </w:r>
    </w:p>
    <w:p w14:paraId="7B6563A1">
      <w:pPr>
        <w:framePr w:wrap="auto" w:vAnchor="margin" w:hAnchor="text" w:yAlign="inline"/>
        <w:rPr>
          <w:rFonts w:hint="eastAsia" w:ascii="宋体" w:hAnsi="宋体" w:eastAsia="宋体" w:cs="宋体"/>
          <w:b/>
          <w:bCs/>
          <w:color w:val="auto"/>
          <w:sz w:val="32"/>
          <w:szCs w:val="32"/>
          <w:highlight w:val="none"/>
          <w:lang w:val="en-US" w:eastAsia="zh-CN"/>
        </w:rPr>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0"/>
          <w:cols w:space="0" w:num="1"/>
          <w:rtlGutter w:val="0"/>
          <w:docGrid w:linePitch="0" w:charSpace="0"/>
        </w:sectPr>
      </w:pPr>
    </w:p>
    <w:p w14:paraId="191D4072">
      <w:pPr>
        <w:framePr w:wrap="auto" w:vAnchor="margin" w:hAnchor="text" w:yAlign="inline"/>
        <w:rPr>
          <w:rFonts w:hint="eastAsia" w:ascii="宋体" w:hAnsi="宋体" w:eastAsia="宋体" w:cs="宋体"/>
          <w:b/>
          <w:bCs/>
          <w:color w:val="auto"/>
          <w:sz w:val="32"/>
          <w:szCs w:val="32"/>
          <w:highlight w:val="none"/>
          <w:lang w:val="en-US"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013"/>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广东省惠州市惠东县稔山镇蟹洲海堤水闸重建工程（编号03号）劳务合作</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0462724"/>
      <w:bookmarkStart w:id="24" w:name="_Toc486837000"/>
      <w:bookmarkStart w:id="25" w:name="_Toc39826987"/>
      <w:bookmarkStart w:id="26" w:name="_Toc474920011"/>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footerReference r:id="rId8"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32"/>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6C718">
    <w:pPr>
      <w:framePr w:wrap="around"/>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B57B9E9">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1312;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3O80XZAAAADQEAAA8A&#10;AAAAAAAAAQAgAAAAIgAAAGRycy9kb3ducmV2LnhtbFBLAQIUABQAAAAIAIdO4kDM6r1PTwIAAIkE&#10;AAAOAAAAAAAAAAEAIAAAACgBAABkcnMvZTJvRG9jLnhtbFBLBQYAAAAABgAGAFkBAADpBQAAAAA=&#10;">
              <v:fill on="f" focussize="0,0"/>
              <v:stroke on="f" weight="1pt" miterlimit="4" joinstyle="miter"/>
              <v:imagedata o:title=""/>
              <o:lock v:ext="edit" aspectratio="f"/>
              <v:textbox inset="0mm,0mm,0mm,0mm">
                <w:txbxContent>
                  <w:p w14:paraId="4B57B9E9">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AB7716AD"/>
    <w:multiLevelType w:val="singleLevel"/>
    <w:tmpl w:val="AB7716AD"/>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966D0"/>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576863"/>
    <w:rsid w:val="0A9B78EE"/>
    <w:rsid w:val="0AA6363C"/>
    <w:rsid w:val="0AB93C82"/>
    <w:rsid w:val="0B2B3E47"/>
    <w:rsid w:val="0B93489F"/>
    <w:rsid w:val="0BB37C4B"/>
    <w:rsid w:val="0BE81DF9"/>
    <w:rsid w:val="0C9A1D8E"/>
    <w:rsid w:val="0CC25F19"/>
    <w:rsid w:val="0D381DBD"/>
    <w:rsid w:val="0D9951E8"/>
    <w:rsid w:val="0DC363ED"/>
    <w:rsid w:val="0E9D794C"/>
    <w:rsid w:val="0FD52CE0"/>
    <w:rsid w:val="0FD9253D"/>
    <w:rsid w:val="0FDB5EA5"/>
    <w:rsid w:val="0FFA6EBC"/>
    <w:rsid w:val="100D6828"/>
    <w:rsid w:val="106543DC"/>
    <w:rsid w:val="10B218B8"/>
    <w:rsid w:val="10CD5EA6"/>
    <w:rsid w:val="11380CCB"/>
    <w:rsid w:val="140E413A"/>
    <w:rsid w:val="14FA6062"/>
    <w:rsid w:val="15A136FE"/>
    <w:rsid w:val="15B07E81"/>
    <w:rsid w:val="16786FA1"/>
    <w:rsid w:val="168F20CE"/>
    <w:rsid w:val="16977C12"/>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657B48"/>
    <w:rsid w:val="1D970CFC"/>
    <w:rsid w:val="1DB23C0B"/>
    <w:rsid w:val="1EFA5217"/>
    <w:rsid w:val="1F625542"/>
    <w:rsid w:val="1F8F77FD"/>
    <w:rsid w:val="201062FC"/>
    <w:rsid w:val="203325E5"/>
    <w:rsid w:val="20381050"/>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6FA7E2A"/>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D54DCB"/>
    <w:rsid w:val="3AFB30DD"/>
    <w:rsid w:val="3B286FE0"/>
    <w:rsid w:val="3B497155"/>
    <w:rsid w:val="3B512DAC"/>
    <w:rsid w:val="3B9C1436"/>
    <w:rsid w:val="3BA75327"/>
    <w:rsid w:val="3C301A6B"/>
    <w:rsid w:val="3C3257D1"/>
    <w:rsid w:val="3C4871B9"/>
    <w:rsid w:val="3D1E02FB"/>
    <w:rsid w:val="3D2B59E9"/>
    <w:rsid w:val="3DB15680"/>
    <w:rsid w:val="3E410621"/>
    <w:rsid w:val="3E647790"/>
    <w:rsid w:val="3E772B72"/>
    <w:rsid w:val="3F5D3D7D"/>
    <w:rsid w:val="3FA10590"/>
    <w:rsid w:val="3FD117E4"/>
    <w:rsid w:val="3FD87226"/>
    <w:rsid w:val="3FEA7A79"/>
    <w:rsid w:val="400224F5"/>
    <w:rsid w:val="4033666C"/>
    <w:rsid w:val="40A25D3E"/>
    <w:rsid w:val="40B05440"/>
    <w:rsid w:val="41000ED7"/>
    <w:rsid w:val="415A648B"/>
    <w:rsid w:val="41A43864"/>
    <w:rsid w:val="420416B7"/>
    <w:rsid w:val="423A2EF4"/>
    <w:rsid w:val="42480BEE"/>
    <w:rsid w:val="4282199D"/>
    <w:rsid w:val="42CD4900"/>
    <w:rsid w:val="44935E12"/>
    <w:rsid w:val="451E2F5B"/>
    <w:rsid w:val="455436D3"/>
    <w:rsid w:val="45AF17BA"/>
    <w:rsid w:val="45BA47D3"/>
    <w:rsid w:val="46171F44"/>
    <w:rsid w:val="46C42F35"/>
    <w:rsid w:val="46D05AEB"/>
    <w:rsid w:val="4703605D"/>
    <w:rsid w:val="479A3252"/>
    <w:rsid w:val="4885485B"/>
    <w:rsid w:val="488C3E1C"/>
    <w:rsid w:val="48921A9D"/>
    <w:rsid w:val="493B5A4A"/>
    <w:rsid w:val="49415E3C"/>
    <w:rsid w:val="499C7517"/>
    <w:rsid w:val="49D20000"/>
    <w:rsid w:val="4B1E4D42"/>
    <w:rsid w:val="4B9A2838"/>
    <w:rsid w:val="4CB9722B"/>
    <w:rsid w:val="4D2F1B44"/>
    <w:rsid w:val="4D6D2823"/>
    <w:rsid w:val="4EB27EE8"/>
    <w:rsid w:val="4FCF1240"/>
    <w:rsid w:val="510A7280"/>
    <w:rsid w:val="519F2ED6"/>
    <w:rsid w:val="51B55CF0"/>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8F51880"/>
    <w:rsid w:val="58FB6E27"/>
    <w:rsid w:val="59065871"/>
    <w:rsid w:val="5A6C3B35"/>
    <w:rsid w:val="5A701556"/>
    <w:rsid w:val="5AEC1D43"/>
    <w:rsid w:val="5B081D8F"/>
    <w:rsid w:val="5B1222C1"/>
    <w:rsid w:val="5B5A24DB"/>
    <w:rsid w:val="5B841066"/>
    <w:rsid w:val="5B8F661B"/>
    <w:rsid w:val="5BAC5C27"/>
    <w:rsid w:val="5BC3207D"/>
    <w:rsid w:val="5C8C126B"/>
    <w:rsid w:val="5C9F730C"/>
    <w:rsid w:val="5CAC3721"/>
    <w:rsid w:val="5CCD5552"/>
    <w:rsid w:val="5D0C4B73"/>
    <w:rsid w:val="5D1F68FE"/>
    <w:rsid w:val="5D954414"/>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21269A"/>
    <w:rsid w:val="64343753"/>
    <w:rsid w:val="646B5AF4"/>
    <w:rsid w:val="64D23995"/>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2B77AF"/>
    <w:rsid w:val="6D903084"/>
    <w:rsid w:val="6D9429F2"/>
    <w:rsid w:val="6DA27FF8"/>
    <w:rsid w:val="6E6762FD"/>
    <w:rsid w:val="6EFF1E99"/>
    <w:rsid w:val="6F2E3518"/>
    <w:rsid w:val="6F3E4B51"/>
    <w:rsid w:val="6F5A1A2F"/>
    <w:rsid w:val="6FA32ACE"/>
    <w:rsid w:val="6FA80A40"/>
    <w:rsid w:val="701A4460"/>
    <w:rsid w:val="70F63422"/>
    <w:rsid w:val="71524287"/>
    <w:rsid w:val="717B7693"/>
    <w:rsid w:val="717F6CC2"/>
    <w:rsid w:val="71B1081E"/>
    <w:rsid w:val="71BF7E52"/>
    <w:rsid w:val="7265409A"/>
    <w:rsid w:val="72D96974"/>
    <w:rsid w:val="730F67BB"/>
    <w:rsid w:val="73314959"/>
    <w:rsid w:val="73376ADC"/>
    <w:rsid w:val="73774085"/>
    <w:rsid w:val="73C14AB2"/>
    <w:rsid w:val="73FC46A6"/>
    <w:rsid w:val="74697E0C"/>
    <w:rsid w:val="74C302F2"/>
    <w:rsid w:val="750039F8"/>
    <w:rsid w:val="753E4CE6"/>
    <w:rsid w:val="756A3E1D"/>
    <w:rsid w:val="75B545B1"/>
    <w:rsid w:val="76147BCB"/>
    <w:rsid w:val="7657546E"/>
    <w:rsid w:val="76615AF7"/>
    <w:rsid w:val="768F5040"/>
    <w:rsid w:val="76B55335"/>
    <w:rsid w:val="76CF38AD"/>
    <w:rsid w:val="77B24188"/>
    <w:rsid w:val="77DD680A"/>
    <w:rsid w:val="7889342D"/>
    <w:rsid w:val="789A2E8C"/>
    <w:rsid w:val="7908342F"/>
    <w:rsid w:val="7967704C"/>
    <w:rsid w:val="79A11556"/>
    <w:rsid w:val="7A1C2C5E"/>
    <w:rsid w:val="7A6B2F64"/>
    <w:rsid w:val="7A87523A"/>
    <w:rsid w:val="7AE35C69"/>
    <w:rsid w:val="7B0E5932"/>
    <w:rsid w:val="7B172EE5"/>
    <w:rsid w:val="7B5527F0"/>
    <w:rsid w:val="7B735A7A"/>
    <w:rsid w:val="7B7FB21E"/>
    <w:rsid w:val="7BA577E9"/>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autoRedefine/>
    <w:qFormat/>
    <w:uiPriority w:val="0"/>
    <w:pPr>
      <w:spacing w:after="120" w:line="480" w:lineRule="auto"/>
      <w:ind w:left="420" w:leftChars="200"/>
    </w:pPr>
    <w:rPr>
      <w:rFonts w:eastAsia="仿宋_GB2312"/>
      <w:sz w:val="32"/>
    </w:rPr>
  </w:style>
  <w:style w:type="paragraph" w:styleId="12">
    <w:name w:val="footer"/>
    <w:basedOn w:val="1"/>
    <w:link w:val="39"/>
    <w:autoRedefine/>
    <w:qFormat/>
    <w:uiPriority w:val="0"/>
    <w:pPr>
      <w:tabs>
        <w:tab w:val="center" w:pos="4153"/>
        <w:tab w:val="right" w:pos="8306"/>
      </w:tabs>
      <w:snapToGrid w:val="0"/>
    </w:pPr>
    <w:rPr>
      <w:sz w:val="18"/>
      <w:szCs w:val="18"/>
    </w:rPr>
  </w:style>
  <w:style w:type="paragraph" w:styleId="13">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Title"/>
    <w:basedOn w:val="1"/>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8">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qFormat/>
    <w:uiPriority w:val="0"/>
  </w:style>
  <w:style w:type="character" w:styleId="24">
    <w:name w:val="Hyperlink"/>
    <w:autoRedefine/>
    <w:qFormat/>
    <w:uiPriority w:val="0"/>
    <w:rPr>
      <w:u w:val="single"/>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10"/>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1"/>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1"/>
    <w:autoRedefine/>
    <w:qFormat/>
    <w:uiPriority w:val="0"/>
    <w:rPr>
      <w:rFonts w:hint="default" w:ascii="Calibri" w:hAnsi="Calibri" w:cs="Calibri"/>
      <w:color w:val="000000"/>
      <w:sz w:val="18"/>
      <w:szCs w:val="18"/>
      <w:u w:val="none"/>
    </w:rPr>
  </w:style>
  <w:style w:type="character" w:customStyle="1" w:styleId="38">
    <w:name w:val="页眉 字符"/>
    <w:basedOn w:val="21"/>
    <w:link w:val="13"/>
    <w:autoRedefine/>
    <w:qFormat/>
    <w:uiPriority w:val="0"/>
    <w:rPr>
      <w:rFonts w:eastAsia="Arial Unicode MS"/>
      <w:sz w:val="18"/>
      <w:szCs w:val="18"/>
      <w:lang w:eastAsia="en-US"/>
    </w:rPr>
  </w:style>
  <w:style w:type="character" w:customStyle="1" w:styleId="39">
    <w:name w:val="页脚 字符"/>
    <w:basedOn w:val="21"/>
    <w:link w:val="12"/>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171"/>
    <w:basedOn w:val="21"/>
    <w:qFormat/>
    <w:uiPriority w:val="0"/>
    <w:rPr>
      <w:rFonts w:hint="eastAsia" w:ascii="宋体" w:hAnsi="宋体" w:eastAsia="宋体" w:cs="宋体"/>
      <w:b/>
      <w:bCs/>
      <w:color w:val="FF0000"/>
      <w:sz w:val="36"/>
      <w:szCs w:val="36"/>
      <w:u w:val="none"/>
    </w:rPr>
  </w:style>
  <w:style w:type="character" w:customStyle="1" w:styleId="45">
    <w:name w:val="font151"/>
    <w:basedOn w:val="21"/>
    <w:qFormat/>
    <w:uiPriority w:val="0"/>
    <w:rPr>
      <w:rFonts w:hint="eastAsia" w:ascii="宋体" w:hAnsi="宋体" w:eastAsia="宋体" w:cs="宋体"/>
      <w:b/>
      <w:bCs/>
      <w:color w:val="000000"/>
      <w:sz w:val="18"/>
      <w:szCs w:val="18"/>
      <w:u w:val="none"/>
    </w:rPr>
  </w:style>
  <w:style w:type="character" w:customStyle="1" w:styleId="46">
    <w:name w:val="font181"/>
    <w:basedOn w:val="21"/>
    <w:qFormat/>
    <w:uiPriority w:val="0"/>
    <w:rPr>
      <w:rFonts w:hint="eastAsia" w:ascii="宋体" w:hAnsi="宋体" w:eastAsia="宋体" w:cs="宋体"/>
      <w:b/>
      <w:bCs/>
      <w:color w:val="000000"/>
      <w:sz w:val="18"/>
      <w:szCs w:val="18"/>
      <w:u w:val="single"/>
    </w:rPr>
  </w:style>
  <w:style w:type="character" w:customStyle="1" w:styleId="47">
    <w:name w:val="font161"/>
    <w:basedOn w:val="21"/>
    <w:qFormat/>
    <w:uiPriority w:val="0"/>
    <w:rPr>
      <w:rFonts w:hint="eastAsia" w:ascii="宋体" w:hAnsi="宋体" w:eastAsia="宋体" w:cs="宋体"/>
      <w:color w:val="000000"/>
      <w:sz w:val="20"/>
      <w:szCs w:val="20"/>
      <w:u w:val="none"/>
    </w:rPr>
  </w:style>
  <w:style w:type="character" w:customStyle="1" w:styleId="48">
    <w:name w:val="font191"/>
    <w:basedOn w:val="21"/>
    <w:qFormat/>
    <w:uiPriority w:val="0"/>
    <w:rPr>
      <w:rFonts w:hint="default" w:ascii="Arial" w:hAnsi="Arial" w:cs="Arial"/>
      <w:color w:val="000000"/>
      <w:sz w:val="20"/>
      <w:szCs w:val="20"/>
      <w:u w:val="none"/>
    </w:rPr>
  </w:style>
  <w:style w:type="character" w:customStyle="1" w:styleId="49">
    <w:name w:val="font141"/>
    <w:basedOn w:val="21"/>
    <w:qFormat/>
    <w:uiPriority w:val="0"/>
    <w:rPr>
      <w:rFonts w:hint="eastAsia" w:ascii="宋体" w:hAnsi="宋体" w:eastAsia="宋体" w:cs="宋体"/>
      <w:b/>
      <w:bCs/>
      <w:color w:val="FF0000"/>
      <w:sz w:val="36"/>
      <w:szCs w:val="36"/>
      <w:u w:val="none"/>
    </w:rPr>
  </w:style>
  <w:style w:type="character" w:customStyle="1" w:styleId="50">
    <w:name w:val="font121"/>
    <w:basedOn w:val="21"/>
    <w:qFormat/>
    <w:uiPriority w:val="0"/>
    <w:rPr>
      <w:rFonts w:hint="eastAsia" w:ascii="宋体" w:hAnsi="宋体" w:eastAsia="宋体" w:cs="宋体"/>
      <w:b/>
      <w:bCs/>
      <w:color w:val="000000"/>
      <w:sz w:val="18"/>
      <w:szCs w:val="18"/>
      <w:u w:val="none"/>
    </w:rPr>
  </w:style>
  <w:style w:type="character" w:customStyle="1" w:styleId="51">
    <w:name w:val="font131"/>
    <w:basedOn w:val="21"/>
    <w:qFormat/>
    <w:uiPriority w:val="0"/>
    <w:rPr>
      <w:rFonts w:hint="eastAsia" w:ascii="宋体" w:hAnsi="宋体" w:eastAsia="宋体" w:cs="宋体"/>
      <w:color w:val="000000"/>
      <w:sz w:val="20"/>
      <w:szCs w:val="20"/>
      <w:u w:val="none"/>
    </w:rPr>
  </w:style>
  <w:style w:type="character" w:customStyle="1" w:styleId="52">
    <w:name w:val="font122"/>
    <w:basedOn w:val="21"/>
    <w:qFormat/>
    <w:uiPriority w:val="0"/>
    <w:rPr>
      <w:rFonts w:hint="eastAsia" w:ascii="仿宋" w:hAnsi="仿宋" w:eastAsia="仿宋" w:cs="仿宋"/>
      <w:b/>
      <w:bCs/>
      <w:color w:val="000000"/>
      <w:sz w:val="24"/>
      <w:szCs w:val="24"/>
      <w:u w:val="single"/>
    </w:rPr>
  </w:style>
  <w:style w:type="character" w:customStyle="1" w:styleId="53">
    <w:name w:val="font61"/>
    <w:basedOn w:val="21"/>
    <w:qFormat/>
    <w:uiPriority w:val="0"/>
    <w:rPr>
      <w:rFonts w:hint="eastAsia" w:ascii="仿宋" w:hAnsi="仿宋" w:eastAsia="仿宋" w:cs="仿宋"/>
      <w:b/>
      <w:bCs/>
      <w:color w:val="000000"/>
      <w:sz w:val="24"/>
      <w:szCs w:val="24"/>
      <w:u w:val="none"/>
    </w:rPr>
  </w:style>
  <w:style w:type="character" w:customStyle="1" w:styleId="54">
    <w:name w:val="font111"/>
    <w:basedOn w:val="21"/>
    <w:qFormat/>
    <w:uiPriority w:val="0"/>
    <w:rPr>
      <w:rFonts w:hint="eastAsia" w:ascii="宋体" w:hAnsi="宋体" w:eastAsia="宋体" w:cs="宋体"/>
      <w:color w:val="000000"/>
      <w:sz w:val="20"/>
      <w:szCs w:val="20"/>
      <w:u w:val="none"/>
    </w:rPr>
  </w:style>
  <w:style w:type="character" w:customStyle="1" w:styleId="55">
    <w:name w:val="font91"/>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1440</Words>
  <Characters>1645</Characters>
  <Lines>1</Lines>
  <Paragraphs>1</Paragraphs>
  <TotalTime>2</TotalTime>
  <ScaleCrop>false</ScaleCrop>
  <LinksUpToDate>false</LinksUpToDate>
  <CharactersWithSpaces>1671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2025-06-05T06:35:26Z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FA234E3EADDE470BBC102B3B17DABC50_13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