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广东省惠州市惠东县稔山镇蟹洲海堤水闸重建工程（编号01号）砼预应力管桩采购</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惠州志宏工程监理咨询有限公司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2025年3月17日</w:t>
      </w:r>
    </w:p>
    <w:p w14:paraId="44A8A73A">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1B752F79">
      <w:pPr>
        <w:pStyle w:val="13"/>
        <w:framePr w:h="7226" w:hRule="exact" w:wrap="around" w:vAnchor="page" w:hAnchor="page" w:x="1962" w:y="2027"/>
        <w:tabs>
          <w:tab w:val="right" w:leader="dot" w:pos="8400"/>
        </w:tabs>
        <w:spacing w:line="720" w:lineRule="auto"/>
        <w:rPr>
          <w:color w:val="auto"/>
          <w:sz w:val="32"/>
          <w:szCs w:val="32"/>
        </w:rPr>
      </w:pPr>
      <w:r>
        <w:rPr>
          <w:rFonts w:hint="eastAsia" w:ascii="宋体" w:hAnsi="宋体" w:eastAsia="宋体" w:cs="宋体"/>
          <w:b/>
          <w:bCs/>
          <w:color w:val="auto"/>
          <w:sz w:val="44"/>
          <w:szCs w:val="44"/>
          <w:highlight w:val="none"/>
        </w:rPr>
        <w:fldChar w:fldCharType="begin"/>
      </w:r>
      <w:r>
        <w:rPr>
          <w:rFonts w:hint="eastAsia" w:ascii="宋体" w:hAnsi="宋体" w:eastAsia="宋体" w:cs="宋体"/>
          <w:b/>
          <w:bCs/>
          <w:color w:val="auto"/>
          <w:sz w:val="44"/>
          <w:szCs w:val="44"/>
          <w:highlight w:val="none"/>
        </w:rPr>
        <w:instrText xml:space="preserve">TOC \o "1-2" \h \u </w:instrText>
      </w:r>
      <w:r>
        <w:rPr>
          <w:rFonts w:hint="eastAsia" w:ascii="宋体" w:hAnsi="宋体" w:eastAsia="宋体" w:cs="宋体"/>
          <w:b/>
          <w:bCs/>
          <w:color w:val="auto"/>
          <w:sz w:val="44"/>
          <w:szCs w:val="44"/>
          <w:highlight w:val="none"/>
        </w:rPr>
        <w:fldChar w:fldCharType="separate"/>
      </w:r>
      <w:r>
        <w:rPr>
          <w:rFonts w:hint="eastAsia" w:ascii="宋体" w:hAnsi="宋体" w:eastAsia="宋体" w:cs="宋体"/>
          <w:bCs/>
          <w:color w:val="auto"/>
          <w:sz w:val="32"/>
          <w:szCs w:val="44"/>
          <w:highlight w:val="none"/>
        </w:rPr>
        <w:fldChar w:fldCharType="begin"/>
      </w:r>
      <w:r>
        <w:rPr>
          <w:rFonts w:hint="eastAsia" w:ascii="宋体" w:hAnsi="宋体" w:eastAsia="宋体" w:cs="宋体"/>
          <w:bCs/>
          <w:color w:val="auto"/>
          <w:sz w:val="32"/>
          <w:szCs w:val="44"/>
          <w:highlight w:val="none"/>
        </w:rPr>
        <w:instrText xml:space="preserve"> HYPERLINK \l _Toc14363 </w:instrText>
      </w:r>
      <w:r>
        <w:rPr>
          <w:rFonts w:hint="eastAsia" w:ascii="宋体" w:hAnsi="宋体" w:eastAsia="宋体" w:cs="宋体"/>
          <w:bCs/>
          <w:color w:val="auto"/>
          <w:sz w:val="32"/>
          <w:szCs w:val="44"/>
          <w:highlight w:val="none"/>
        </w:rPr>
        <w:fldChar w:fldCharType="separate"/>
      </w:r>
      <w:r>
        <w:rPr>
          <w:rFonts w:hint="eastAsia" w:ascii="宋体" w:hAnsi="宋体" w:eastAsia="宋体" w:cs="宋体"/>
          <w:bCs/>
          <w:color w:val="auto"/>
          <w:sz w:val="32"/>
          <w:szCs w:val="40"/>
          <w:highlight w:val="none"/>
          <w:lang w:val="en-US" w:eastAsia="zh-CN"/>
        </w:rPr>
        <w:t>第一部分</w:t>
      </w:r>
      <w:r>
        <w:rPr>
          <w:rFonts w:hint="eastAsia" w:ascii="宋体" w:hAnsi="宋体" w:eastAsia="宋体" w:cs="宋体"/>
          <w:bCs/>
          <w:color w:val="auto"/>
          <w:sz w:val="32"/>
          <w:szCs w:val="40"/>
          <w:highlight w:val="none"/>
          <w:lang w:val="zh-TW" w:eastAsia="zh-TW"/>
        </w:rPr>
        <w:t xml:space="preserve">  </w:t>
      </w:r>
      <w:r>
        <w:rPr>
          <w:rFonts w:hint="eastAsia" w:ascii="宋体" w:hAnsi="宋体" w:eastAsia="宋体" w:cs="宋体"/>
          <w:bCs/>
          <w:color w:val="auto"/>
          <w:sz w:val="32"/>
          <w:szCs w:val="40"/>
          <w:highlight w:val="none"/>
          <w:lang w:val="en-US" w:eastAsia="zh-CN"/>
        </w:rPr>
        <w:t>竞价</w:t>
      </w:r>
      <w:r>
        <w:rPr>
          <w:rFonts w:hint="eastAsia" w:ascii="宋体" w:hAnsi="宋体" w:eastAsia="宋体" w:cs="宋体"/>
          <w:bCs/>
          <w:color w:val="auto"/>
          <w:sz w:val="32"/>
          <w:szCs w:val="40"/>
          <w:highlight w:val="none"/>
          <w:lang w:val="zh-TW" w:eastAsia="zh-TW"/>
        </w:rPr>
        <w:t>公告</w:t>
      </w:r>
      <w:r>
        <w:rPr>
          <w:color w:val="auto"/>
          <w:sz w:val="32"/>
          <w:szCs w:val="32"/>
        </w:rPr>
        <w:tab/>
      </w:r>
      <w:r>
        <w:rPr>
          <w:color w:val="auto"/>
          <w:sz w:val="32"/>
          <w:szCs w:val="32"/>
        </w:rPr>
        <w:fldChar w:fldCharType="begin"/>
      </w:r>
      <w:r>
        <w:rPr>
          <w:color w:val="auto"/>
          <w:sz w:val="32"/>
          <w:szCs w:val="32"/>
        </w:rPr>
        <w:instrText xml:space="preserve"> PAGEREF _Toc14363 \h </w:instrText>
      </w:r>
      <w:r>
        <w:rPr>
          <w:color w:val="auto"/>
          <w:sz w:val="32"/>
          <w:szCs w:val="32"/>
        </w:rPr>
        <w:fldChar w:fldCharType="separate"/>
      </w:r>
      <w:r>
        <w:rPr>
          <w:color w:val="auto"/>
          <w:sz w:val="32"/>
          <w:szCs w:val="32"/>
        </w:rPr>
        <w:t>3</w:t>
      </w:r>
      <w:r>
        <w:rPr>
          <w:color w:val="auto"/>
          <w:sz w:val="32"/>
          <w:szCs w:val="32"/>
        </w:rPr>
        <w:fldChar w:fldCharType="end"/>
      </w:r>
      <w:r>
        <w:rPr>
          <w:rFonts w:hint="eastAsia" w:ascii="宋体" w:hAnsi="宋体" w:eastAsia="宋体" w:cs="宋体"/>
          <w:bCs/>
          <w:color w:val="auto"/>
          <w:sz w:val="32"/>
          <w:szCs w:val="44"/>
          <w:highlight w:val="none"/>
        </w:rPr>
        <w:fldChar w:fldCharType="end"/>
      </w:r>
    </w:p>
    <w:p w14:paraId="0F0587AC">
      <w:pPr>
        <w:pStyle w:val="13"/>
        <w:framePr w:h="7226" w:hRule="exact" w:wrap="around" w:vAnchor="page" w:hAnchor="page" w:x="1962" w:y="2027"/>
        <w:tabs>
          <w:tab w:val="right" w:leader="dot" w:pos="8400"/>
        </w:tabs>
        <w:spacing w:line="720" w:lineRule="auto"/>
        <w:rPr>
          <w:color w:val="auto"/>
          <w:sz w:val="32"/>
          <w:szCs w:val="32"/>
        </w:rPr>
      </w:pPr>
      <w:r>
        <w:rPr>
          <w:rFonts w:hint="eastAsia" w:ascii="宋体" w:hAnsi="宋体" w:eastAsia="宋体" w:cs="宋体"/>
          <w:bCs/>
          <w:color w:val="auto"/>
          <w:sz w:val="32"/>
          <w:szCs w:val="44"/>
          <w:highlight w:val="none"/>
        </w:rPr>
        <w:fldChar w:fldCharType="begin"/>
      </w:r>
      <w:r>
        <w:rPr>
          <w:rFonts w:hint="eastAsia" w:ascii="宋体" w:hAnsi="宋体" w:eastAsia="宋体" w:cs="宋体"/>
          <w:bCs/>
          <w:color w:val="auto"/>
          <w:sz w:val="32"/>
          <w:szCs w:val="44"/>
          <w:highlight w:val="none"/>
        </w:rPr>
        <w:instrText xml:space="preserve"> HYPERLINK \l _Toc15667 </w:instrText>
      </w:r>
      <w:r>
        <w:rPr>
          <w:rFonts w:hint="eastAsia" w:ascii="宋体" w:hAnsi="宋体" w:eastAsia="宋体" w:cs="宋体"/>
          <w:bCs/>
          <w:color w:val="auto"/>
          <w:sz w:val="32"/>
          <w:szCs w:val="44"/>
          <w:highlight w:val="none"/>
        </w:rPr>
        <w:fldChar w:fldCharType="separate"/>
      </w:r>
      <w:r>
        <w:rPr>
          <w:rFonts w:hint="eastAsia" w:ascii="宋体" w:hAnsi="宋体" w:eastAsia="宋体" w:cs="宋体"/>
          <w:bCs/>
          <w:color w:val="auto"/>
          <w:sz w:val="32"/>
          <w:szCs w:val="40"/>
          <w:highlight w:val="none"/>
          <w:lang w:val="zh-TW" w:eastAsia="zh-TW"/>
        </w:rPr>
        <w:t>第</w:t>
      </w:r>
      <w:r>
        <w:rPr>
          <w:rFonts w:hint="eastAsia" w:ascii="宋体" w:hAnsi="宋体" w:eastAsia="宋体" w:cs="宋体"/>
          <w:bCs/>
          <w:color w:val="auto"/>
          <w:sz w:val="32"/>
          <w:szCs w:val="40"/>
          <w:highlight w:val="none"/>
          <w:lang w:eastAsia="zh-CN"/>
        </w:rPr>
        <w:t>二</w:t>
      </w:r>
      <w:r>
        <w:rPr>
          <w:rFonts w:hint="eastAsia" w:ascii="宋体" w:hAnsi="宋体" w:eastAsia="宋体" w:cs="宋体"/>
          <w:bCs/>
          <w:color w:val="auto"/>
          <w:sz w:val="32"/>
          <w:szCs w:val="40"/>
          <w:highlight w:val="none"/>
          <w:lang w:val="zh-TW" w:eastAsia="zh-TW"/>
        </w:rPr>
        <w:t xml:space="preserve">部分  </w:t>
      </w:r>
      <w:r>
        <w:rPr>
          <w:rFonts w:hint="eastAsia" w:ascii="宋体" w:hAnsi="宋体" w:eastAsia="宋体" w:cs="宋体"/>
          <w:bCs/>
          <w:color w:val="auto"/>
          <w:sz w:val="32"/>
          <w:szCs w:val="40"/>
          <w:highlight w:val="none"/>
          <w:lang w:eastAsia="zh-CN"/>
        </w:rPr>
        <w:t>参选人须知</w:t>
      </w:r>
      <w:r>
        <w:rPr>
          <w:color w:val="auto"/>
          <w:sz w:val="32"/>
          <w:szCs w:val="32"/>
        </w:rPr>
        <w:tab/>
      </w:r>
      <w:r>
        <w:rPr>
          <w:color w:val="auto"/>
          <w:sz w:val="32"/>
          <w:szCs w:val="32"/>
        </w:rPr>
        <w:fldChar w:fldCharType="begin"/>
      </w:r>
      <w:r>
        <w:rPr>
          <w:color w:val="auto"/>
          <w:sz w:val="32"/>
          <w:szCs w:val="32"/>
        </w:rPr>
        <w:instrText xml:space="preserve"> PAGEREF _Toc15667 \h </w:instrText>
      </w:r>
      <w:r>
        <w:rPr>
          <w:color w:val="auto"/>
          <w:sz w:val="32"/>
          <w:szCs w:val="32"/>
        </w:rPr>
        <w:fldChar w:fldCharType="separate"/>
      </w:r>
      <w:r>
        <w:rPr>
          <w:color w:val="auto"/>
          <w:sz w:val="32"/>
          <w:szCs w:val="32"/>
        </w:rPr>
        <w:t>6</w:t>
      </w:r>
      <w:r>
        <w:rPr>
          <w:color w:val="auto"/>
          <w:sz w:val="32"/>
          <w:szCs w:val="32"/>
        </w:rPr>
        <w:fldChar w:fldCharType="end"/>
      </w:r>
      <w:r>
        <w:rPr>
          <w:rFonts w:hint="eastAsia" w:ascii="宋体" w:hAnsi="宋体" w:eastAsia="宋体" w:cs="宋体"/>
          <w:bCs/>
          <w:color w:val="auto"/>
          <w:sz w:val="32"/>
          <w:szCs w:val="44"/>
          <w:highlight w:val="none"/>
        </w:rPr>
        <w:fldChar w:fldCharType="end"/>
      </w:r>
    </w:p>
    <w:p w14:paraId="094C52BE">
      <w:pPr>
        <w:pStyle w:val="13"/>
        <w:framePr w:h="7226" w:hRule="exact" w:wrap="around" w:vAnchor="page" w:hAnchor="page" w:x="1962" w:y="2027"/>
        <w:tabs>
          <w:tab w:val="right" w:leader="dot" w:pos="8400"/>
        </w:tabs>
        <w:spacing w:line="720" w:lineRule="auto"/>
        <w:rPr>
          <w:color w:val="auto"/>
          <w:sz w:val="32"/>
          <w:szCs w:val="32"/>
        </w:rPr>
      </w:pPr>
      <w:r>
        <w:rPr>
          <w:rFonts w:hint="eastAsia" w:ascii="宋体" w:hAnsi="宋体" w:eastAsia="宋体" w:cs="宋体"/>
          <w:bCs/>
          <w:color w:val="auto"/>
          <w:sz w:val="32"/>
          <w:szCs w:val="44"/>
          <w:highlight w:val="none"/>
        </w:rPr>
        <w:fldChar w:fldCharType="begin"/>
      </w:r>
      <w:r>
        <w:rPr>
          <w:rFonts w:hint="eastAsia" w:ascii="宋体" w:hAnsi="宋体" w:eastAsia="宋体" w:cs="宋体"/>
          <w:bCs/>
          <w:color w:val="auto"/>
          <w:sz w:val="32"/>
          <w:szCs w:val="44"/>
          <w:highlight w:val="none"/>
        </w:rPr>
        <w:instrText xml:space="preserve"> HYPERLINK \l _Toc12719 </w:instrText>
      </w:r>
      <w:r>
        <w:rPr>
          <w:rFonts w:hint="eastAsia" w:ascii="宋体" w:hAnsi="宋体" w:eastAsia="宋体" w:cs="宋体"/>
          <w:bCs/>
          <w:color w:val="auto"/>
          <w:sz w:val="32"/>
          <w:szCs w:val="44"/>
          <w:highlight w:val="none"/>
        </w:rPr>
        <w:fldChar w:fldCharType="separate"/>
      </w:r>
      <w:r>
        <w:rPr>
          <w:rFonts w:hint="eastAsia" w:ascii="宋体" w:hAnsi="宋体" w:eastAsia="宋体" w:cs="宋体"/>
          <w:bCs/>
          <w:color w:val="auto"/>
          <w:sz w:val="32"/>
          <w:szCs w:val="40"/>
          <w:lang w:val="en-US" w:eastAsia="zh-CN"/>
        </w:rPr>
        <w:t xml:space="preserve">第三部分 </w:t>
      </w:r>
      <w:r>
        <w:rPr>
          <w:rFonts w:hint="eastAsia" w:ascii="宋体" w:hAnsi="宋体" w:eastAsia="宋体" w:cs="宋体"/>
          <w:bCs/>
          <w:color w:val="auto"/>
          <w:sz w:val="32"/>
          <w:szCs w:val="40"/>
          <w:highlight w:val="none"/>
          <w:lang w:val="en-US" w:eastAsia="zh-CN"/>
        </w:rPr>
        <w:t>工程量清单</w:t>
      </w:r>
      <w:r>
        <w:rPr>
          <w:color w:val="auto"/>
          <w:sz w:val="32"/>
          <w:szCs w:val="32"/>
        </w:rPr>
        <w:tab/>
      </w:r>
      <w:r>
        <w:rPr>
          <w:color w:val="auto"/>
          <w:sz w:val="32"/>
          <w:szCs w:val="32"/>
        </w:rPr>
        <w:fldChar w:fldCharType="begin"/>
      </w:r>
      <w:r>
        <w:rPr>
          <w:color w:val="auto"/>
          <w:sz w:val="32"/>
          <w:szCs w:val="32"/>
        </w:rPr>
        <w:instrText xml:space="preserve"> PAGEREF _Toc12719 \h </w:instrText>
      </w:r>
      <w:r>
        <w:rPr>
          <w:color w:val="auto"/>
          <w:sz w:val="32"/>
          <w:szCs w:val="32"/>
        </w:rPr>
        <w:fldChar w:fldCharType="separate"/>
      </w:r>
      <w:r>
        <w:rPr>
          <w:color w:val="auto"/>
          <w:sz w:val="32"/>
          <w:szCs w:val="32"/>
        </w:rPr>
        <w:t>12</w:t>
      </w:r>
      <w:r>
        <w:rPr>
          <w:color w:val="auto"/>
          <w:sz w:val="32"/>
          <w:szCs w:val="32"/>
        </w:rPr>
        <w:fldChar w:fldCharType="end"/>
      </w:r>
      <w:r>
        <w:rPr>
          <w:rFonts w:hint="eastAsia" w:ascii="宋体" w:hAnsi="宋体" w:eastAsia="宋体" w:cs="宋体"/>
          <w:bCs/>
          <w:color w:val="auto"/>
          <w:sz w:val="32"/>
          <w:szCs w:val="44"/>
          <w:highlight w:val="none"/>
        </w:rPr>
        <w:fldChar w:fldCharType="end"/>
      </w:r>
    </w:p>
    <w:p w14:paraId="1323AD75">
      <w:pPr>
        <w:pStyle w:val="13"/>
        <w:framePr w:h="7226" w:hRule="exact" w:wrap="around" w:vAnchor="page" w:hAnchor="page" w:x="1962" w:y="2027"/>
        <w:tabs>
          <w:tab w:val="right" w:leader="dot" w:pos="8400"/>
        </w:tabs>
        <w:spacing w:line="720" w:lineRule="auto"/>
        <w:rPr>
          <w:color w:val="auto"/>
          <w:sz w:val="32"/>
          <w:szCs w:val="32"/>
        </w:rPr>
      </w:pPr>
      <w:r>
        <w:rPr>
          <w:rFonts w:hint="eastAsia" w:ascii="宋体" w:hAnsi="宋体" w:eastAsia="宋体" w:cs="宋体"/>
          <w:bCs/>
          <w:color w:val="auto"/>
          <w:sz w:val="32"/>
          <w:szCs w:val="44"/>
          <w:highlight w:val="none"/>
        </w:rPr>
        <w:fldChar w:fldCharType="begin"/>
      </w:r>
      <w:r>
        <w:rPr>
          <w:rFonts w:hint="eastAsia" w:ascii="宋体" w:hAnsi="宋体" w:eastAsia="宋体" w:cs="宋体"/>
          <w:bCs/>
          <w:color w:val="auto"/>
          <w:sz w:val="32"/>
          <w:szCs w:val="44"/>
          <w:highlight w:val="none"/>
        </w:rPr>
        <w:instrText xml:space="preserve"> HYPERLINK \l _Toc2019 </w:instrText>
      </w:r>
      <w:r>
        <w:rPr>
          <w:rFonts w:hint="eastAsia" w:ascii="宋体" w:hAnsi="宋体" w:eastAsia="宋体" w:cs="宋体"/>
          <w:bCs/>
          <w:color w:val="auto"/>
          <w:sz w:val="32"/>
          <w:szCs w:val="44"/>
          <w:highlight w:val="none"/>
        </w:rPr>
        <w:fldChar w:fldCharType="separate"/>
      </w:r>
      <w:r>
        <w:rPr>
          <w:rFonts w:hint="eastAsia" w:ascii="宋体" w:hAnsi="宋体" w:eastAsia="宋体" w:cs="宋体"/>
          <w:bCs/>
          <w:color w:val="auto"/>
          <w:sz w:val="32"/>
          <w:szCs w:val="40"/>
          <w:highlight w:val="none"/>
          <w:lang w:val="en-US" w:eastAsia="zh-CN"/>
        </w:rPr>
        <w:t>第四部分  评选办法</w:t>
      </w:r>
      <w:r>
        <w:rPr>
          <w:color w:val="auto"/>
          <w:sz w:val="32"/>
          <w:szCs w:val="32"/>
        </w:rPr>
        <w:tab/>
      </w:r>
      <w:r>
        <w:rPr>
          <w:color w:val="auto"/>
          <w:sz w:val="32"/>
          <w:szCs w:val="32"/>
        </w:rPr>
        <w:fldChar w:fldCharType="begin"/>
      </w:r>
      <w:r>
        <w:rPr>
          <w:color w:val="auto"/>
          <w:sz w:val="32"/>
          <w:szCs w:val="32"/>
        </w:rPr>
        <w:instrText xml:space="preserve"> PAGEREF _Toc2019 \h </w:instrText>
      </w:r>
      <w:r>
        <w:rPr>
          <w:color w:val="auto"/>
          <w:sz w:val="32"/>
          <w:szCs w:val="32"/>
        </w:rPr>
        <w:fldChar w:fldCharType="separate"/>
      </w:r>
      <w:r>
        <w:rPr>
          <w:color w:val="auto"/>
          <w:sz w:val="32"/>
          <w:szCs w:val="32"/>
        </w:rPr>
        <w:t>13</w:t>
      </w:r>
      <w:r>
        <w:rPr>
          <w:color w:val="auto"/>
          <w:sz w:val="32"/>
          <w:szCs w:val="32"/>
        </w:rPr>
        <w:fldChar w:fldCharType="end"/>
      </w:r>
      <w:r>
        <w:rPr>
          <w:rFonts w:hint="eastAsia" w:ascii="宋体" w:hAnsi="宋体" w:eastAsia="宋体" w:cs="宋体"/>
          <w:bCs/>
          <w:color w:val="auto"/>
          <w:sz w:val="32"/>
          <w:szCs w:val="44"/>
          <w:highlight w:val="none"/>
        </w:rPr>
        <w:fldChar w:fldCharType="end"/>
      </w:r>
    </w:p>
    <w:p w14:paraId="0C120810">
      <w:pPr>
        <w:pStyle w:val="13"/>
        <w:framePr w:h="7226" w:hRule="exact" w:wrap="around" w:vAnchor="page" w:hAnchor="page" w:x="1962" w:y="2027"/>
        <w:tabs>
          <w:tab w:val="right" w:leader="dot" w:pos="8400"/>
        </w:tabs>
        <w:spacing w:line="720" w:lineRule="auto"/>
        <w:rPr>
          <w:color w:val="auto"/>
          <w:sz w:val="32"/>
          <w:szCs w:val="32"/>
        </w:rPr>
      </w:pPr>
      <w:r>
        <w:rPr>
          <w:rFonts w:hint="eastAsia" w:ascii="宋体" w:hAnsi="宋体" w:eastAsia="宋体" w:cs="宋体"/>
          <w:bCs/>
          <w:color w:val="auto"/>
          <w:sz w:val="32"/>
          <w:szCs w:val="44"/>
          <w:highlight w:val="none"/>
        </w:rPr>
        <w:fldChar w:fldCharType="begin"/>
      </w:r>
      <w:r>
        <w:rPr>
          <w:rFonts w:hint="eastAsia" w:ascii="宋体" w:hAnsi="宋体" w:eastAsia="宋体" w:cs="宋体"/>
          <w:bCs/>
          <w:color w:val="auto"/>
          <w:sz w:val="32"/>
          <w:szCs w:val="44"/>
          <w:highlight w:val="none"/>
        </w:rPr>
        <w:instrText xml:space="preserve"> HYPERLINK \l _Toc28034 </w:instrText>
      </w:r>
      <w:r>
        <w:rPr>
          <w:rFonts w:hint="eastAsia" w:ascii="宋体" w:hAnsi="宋体" w:eastAsia="宋体" w:cs="宋体"/>
          <w:bCs/>
          <w:color w:val="auto"/>
          <w:sz w:val="32"/>
          <w:szCs w:val="44"/>
          <w:highlight w:val="none"/>
        </w:rPr>
        <w:fldChar w:fldCharType="separate"/>
      </w:r>
      <w:r>
        <w:rPr>
          <w:rFonts w:hint="eastAsia" w:ascii="宋体" w:hAnsi="宋体" w:eastAsia="宋体" w:cs="宋体"/>
          <w:bCs/>
          <w:color w:val="auto"/>
          <w:sz w:val="32"/>
          <w:szCs w:val="40"/>
          <w:highlight w:val="none"/>
          <w:lang w:val="en-US" w:eastAsia="zh-CN"/>
        </w:rPr>
        <w:t>第五部分  合同主要条款</w:t>
      </w:r>
      <w:r>
        <w:rPr>
          <w:color w:val="auto"/>
          <w:sz w:val="32"/>
          <w:szCs w:val="32"/>
        </w:rPr>
        <w:tab/>
      </w:r>
      <w:r>
        <w:rPr>
          <w:color w:val="auto"/>
          <w:sz w:val="32"/>
          <w:szCs w:val="32"/>
        </w:rPr>
        <w:fldChar w:fldCharType="begin"/>
      </w:r>
      <w:r>
        <w:rPr>
          <w:color w:val="auto"/>
          <w:sz w:val="32"/>
          <w:szCs w:val="32"/>
        </w:rPr>
        <w:instrText xml:space="preserve"> PAGEREF _Toc28034 \h </w:instrText>
      </w:r>
      <w:r>
        <w:rPr>
          <w:color w:val="auto"/>
          <w:sz w:val="32"/>
          <w:szCs w:val="32"/>
        </w:rPr>
        <w:fldChar w:fldCharType="separate"/>
      </w:r>
      <w:r>
        <w:rPr>
          <w:color w:val="auto"/>
          <w:sz w:val="32"/>
          <w:szCs w:val="32"/>
        </w:rPr>
        <w:t>14</w:t>
      </w:r>
      <w:r>
        <w:rPr>
          <w:color w:val="auto"/>
          <w:sz w:val="32"/>
          <w:szCs w:val="32"/>
        </w:rPr>
        <w:fldChar w:fldCharType="end"/>
      </w:r>
      <w:r>
        <w:rPr>
          <w:rFonts w:hint="eastAsia" w:ascii="宋体" w:hAnsi="宋体" w:eastAsia="宋体" w:cs="宋体"/>
          <w:bCs/>
          <w:color w:val="auto"/>
          <w:sz w:val="32"/>
          <w:szCs w:val="44"/>
          <w:highlight w:val="none"/>
        </w:rPr>
        <w:fldChar w:fldCharType="end"/>
      </w:r>
    </w:p>
    <w:p w14:paraId="1ABA5730">
      <w:pPr>
        <w:pStyle w:val="13"/>
        <w:framePr w:h="7226" w:hRule="exact" w:wrap="around" w:vAnchor="page" w:hAnchor="page" w:x="1962" w:y="2027"/>
        <w:tabs>
          <w:tab w:val="right" w:leader="dot" w:pos="8400"/>
        </w:tabs>
        <w:spacing w:line="720" w:lineRule="auto"/>
        <w:rPr>
          <w:color w:val="auto"/>
          <w:sz w:val="32"/>
          <w:szCs w:val="32"/>
        </w:rPr>
      </w:pPr>
      <w:r>
        <w:rPr>
          <w:rFonts w:hint="eastAsia" w:ascii="宋体" w:hAnsi="宋体" w:eastAsia="宋体" w:cs="宋体"/>
          <w:bCs/>
          <w:color w:val="auto"/>
          <w:sz w:val="32"/>
          <w:szCs w:val="44"/>
          <w:highlight w:val="none"/>
        </w:rPr>
        <w:fldChar w:fldCharType="begin"/>
      </w:r>
      <w:r>
        <w:rPr>
          <w:rFonts w:hint="eastAsia" w:ascii="宋体" w:hAnsi="宋体" w:eastAsia="宋体" w:cs="宋体"/>
          <w:bCs/>
          <w:color w:val="auto"/>
          <w:sz w:val="32"/>
          <w:szCs w:val="44"/>
          <w:highlight w:val="none"/>
        </w:rPr>
        <w:instrText xml:space="preserve"> HYPERLINK \l _Toc14947 </w:instrText>
      </w:r>
      <w:r>
        <w:rPr>
          <w:rFonts w:hint="eastAsia" w:ascii="宋体" w:hAnsi="宋体" w:eastAsia="宋体" w:cs="宋体"/>
          <w:bCs/>
          <w:color w:val="auto"/>
          <w:sz w:val="32"/>
          <w:szCs w:val="44"/>
          <w:highlight w:val="none"/>
        </w:rPr>
        <w:fldChar w:fldCharType="separate"/>
      </w:r>
      <w:r>
        <w:rPr>
          <w:rFonts w:hint="eastAsia" w:ascii="宋体" w:hAnsi="宋体" w:eastAsia="宋体" w:cs="宋体"/>
          <w:bCs/>
          <w:color w:val="auto"/>
          <w:sz w:val="32"/>
          <w:szCs w:val="40"/>
          <w:highlight w:val="none"/>
          <w:lang w:val="en-US" w:eastAsia="zh-CN"/>
        </w:rPr>
        <w:t>第六部分  响应文件格式</w:t>
      </w:r>
      <w:r>
        <w:rPr>
          <w:color w:val="auto"/>
          <w:sz w:val="32"/>
          <w:szCs w:val="32"/>
        </w:rPr>
        <w:tab/>
      </w:r>
      <w:r>
        <w:rPr>
          <w:color w:val="auto"/>
          <w:sz w:val="32"/>
          <w:szCs w:val="32"/>
        </w:rPr>
        <w:fldChar w:fldCharType="begin"/>
      </w:r>
      <w:r>
        <w:rPr>
          <w:color w:val="auto"/>
          <w:sz w:val="32"/>
          <w:szCs w:val="32"/>
        </w:rPr>
        <w:instrText xml:space="preserve"> PAGEREF _Toc14947 \h </w:instrText>
      </w:r>
      <w:r>
        <w:rPr>
          <w:color w:val="auto"/>
          <w:sz w:val="32"/>
          <w:szCs w:val="32"/>
        </w:rPr>
        <w:fldChar w:fldCharType="separate"/>
      </w:r>
      <w:r>
        <w:rPr>
          <w:color w:val="auto"/>
          <w:sz w:val="32"/>
          <w:szCs w:val="32"/>
        </w:rPr>
        <w:t>23</w:t>
      </w:r>
      <w:r>
        <w:rPr>
          <w:color w:val="auto"/>
          <w:sz w:val="32"/>
          <w:szCs w:val="32"/>
        </w:rPr>
        <w:fldChar w:fldCharType="end"/>
      </w:r>
      <w:r>
        <w:rPr>
          <w:rFonts w:hint="eastAsia" w:ascii="宋体" w:hAnsi="宋体" w:eastAsia="宋体" w:cs="宋体"/>
          <w:bCs/>
          <w:color w:val="auto"/>
          <w:sz w:val="32"/>
          <w:szCs w:val="44"/>
          <w:highlight w:val="none"/>
        </w:rPr>
        <w:fldChar w:fldCharType="end"/>
      </w:r>
    </w:p>
    <w:p w14:paraId="59A85085">
      <w:pPr>
        <w:keepNext w:val="0"/>
        <w:keepLines w:val="0"/>
        <w:pageBreakBefore w:val="0"/>
        <w:framePr w:h="7226" w:hRule="exact" w:wrap="around" w:vAnchor="page" w:hAnchor="page" w:x="1962" w:y="2027"/>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44"/>
          <w:szCs w:val="44"/>
          <w:highlight w:val="none"/>
        </w:rPr>
      </w:pPr>
      <w:r>
        <w:rPr>
          <w:rFonts w:hint="eastAsia" w:ascii="宋体" w:hAnsi="宋体" w:eastAsia="宋体" w:cs="宋体"/>
          <w:bCs/>
          <w:color w:val="auto"/>
          <w:sz w:val="32"/>
          <w:szCs w:val="44"/>
          <w:highlight w:val="none"/>
        </w:rPr>
        <w:fldChar w:fldCharType="end"/>
      </w:r>
    </w:p>
    <w:p w14:paraId="550C9C6A">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14363"/>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52045528"/>
      <w:bookmarkStart w:id="3" w:name="_Toc144974496"/>
      <w:bookmarkStart w:id="4" w:name="_Toc16761"/>
      <w:bookmarkStart w:id="5" w:name="_Toc500491903"/>
      <w:bookmarkStart w:id="6" w:name="_Toc7164"/>
      <w:bookmarkStart w:id="7" w:name="_Toc392345907"/>
      <w:bookmarkStart w:id="8" w:name="_Toc21380"/>
      <w:bookmarkStart w:id="9" w:name="_Toc229646710"/>
      <w:bookmarkStart w:id="10" w:name="_Toc16780"/>
      <w:bookmarkStart w:id="11" w:name="_Toc152042304"/>
      <w:bookmarkStart w:id="12" w:name="_Toc31806"/>
      <w:r>
        <w:rPr>
          <w:rFonts w:hint="eastAsia" w:ascii="宋体" w:hAnsi="宋体" w:eastAsia="宋体" w:cs="宋体"/>
          <w:color w:val="auto"/>
          <w:sz w:val="28"/>
          <w:szCs w:val="28"/>
          <w:highlight w:val="none"/>
          <w:u w:val="none" w:color="auto"/>
          <w:lang w:val="en-US" w:eastAsia="zh-CN"/>
        </w:rPr>
        <w:t>惠州志宏工程监理咨询有限公司（以下简称“采购代理机构”）受广东高丰建设工程有限公司（以下简称“采购人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）的委托，诚邀国内合格参选人就广东省惠州市惠东县稔山镇蟹洲海堤水闸重建工程（编号01号）砼预应力管桩采购</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“项目”或“本项目”)（项目编号：ZHGC2024029-01）提交竞价申请文件：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承包人现场施工所需的砼预应力管桩采购</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：2025年3月21日12:00。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名称：惠州志宏工程监理咨询有限公司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广东省惠州市惠城区江北文明一路三号中信城市时代1单元17层01号</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0752-2808860</w:t>
      </w:r>
    </w:p>
    <w:p w14:paraId="1CCED735">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采购代理机构：惠州志宏工程监理咨询有限公司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公告发布时间：2025年3月17日</w:t>
      </w:r>
    </w:p>
    <w:p w14:paraId="687C0335">
      <w:pPr>
        <w:framePr w:wrap="auto" w:vAnchor="margin" w:hAnchor="text" w:yAlign="inline"/>
        <w:rPr>
          <w:rFonts w:hint="eastAsia" w:ascii="宋体" w:hAnsi="宋体" w:eastAsia="宋体" w:cs="宋体"/>
          <w:b/>
          <w:bCs/>
          <w:color w:val="auto"/>
          <w:sz w:val="32"/>
          <w:szCs w:val="32"/>
          <w:highlight w:val="none"/>
          <w:lang w:val="zh-TW" w:eastAsia="zh-TW"/>
        </w:rPr>
      </w:pPr>
    </w:p>
    <w:p w14:paraId="7FB6C5C3">
      <w:pPr>
        <w:framePr w:wrap="auto" w:vAnchor="margin" w:hAnchor="text" w:yAlign="inline"/>
        <w:rPr>
          <w:rFonts w:hint="eastAsia" w:ascii="宋体" w:hAnsi="宋体" w:eastAsia="宋体" w:cs="宋体"/>
          <w:b/>
          <w:bCs/>
          <w:color w:val="auto"/>
          <w:sz w:val="32"/>
          <w:szCs w:val="32"/>
          <w:highlight w:val="none"/>
          <w:lang w:val="zh-TW" w:eastAsia="zh-TW"/>
        </w:rPr>
      </w:pPr>
      <w:bookmarkStart w:id="13" w:name="_Toc29038"/>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4" w:name="_Toc15667"/>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广东省惠州市惠东县稔山镇蟹洲海堤水闸重建工程（编号01号）砼预应力管桩采购</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承包人现场施工所需的砼预应力管桩采购</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5</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3</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2025年3月21日12:00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本竞价文件的解释权归广东高丰建设工程有限公司、惠州志宏工程监理咨询有限公司。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广东省惠州市惠东县稔山镇蟹洲海堤水闸重建工程（编号01号）砼预应力管桩采购</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ZHGC2024029-01</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采购代理机构：惠州志宏工程监理咨询有限公司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6D886196">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71FEE5D1">
      <w:pPr>
        <w:keepNext w:val="0"/>
        <w:keepLines/>
        <w:pageBreakBefore w:val="0"/>
        <w:framePr w:wrap="auto" w:vAnchor="margin" w:hAnchor="text" w:yAlign="inline"/>
        <w:widowControl/>
        <w:numPr>
          <w:ilvl w:val="0"/>
          <w:numId w:val="2"/>
        </w:numPr>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r>
        <w:rPr>
          <w:rFonts w:hint="eastAsia" w:ascii="宋体" w:hAnsi="宋体" w:eastAsia="宋体" w:cs="宋体"/>
          <w:b/>
          <w:bCs/>
          <w:color w:val="auto"/>
          <w:sz w:val="32"/>
          <w:szCs w:val="32"/>
          <w:highlight w:val="none"/>
          <w:lang w:val="zh-TW" w:eastAsia="zh-TW"/>
        </w:rPr>
        <w:t xml:space="preserve"> </w:t>
      </w:r>
      <w:bookmarkStart w:id="16" w:name="_Toc12719"/>
      <w:r>
        <w:rPr>
          <w:rFonts w:hint="eastAsia" w:ascii="宋体" w:hAnsi="宋体" w:eastAsia="宋体" w:cs="宋体"/>
          <w:b/>
          <w:bCs/>
          <w:color w:val="auto"/>
          <w:sz w:val="32"/>
          <w:szCs w:val="32"/>
          <w:highlight w:val="none"/>
          <w:lang w:val="en-US" w:eastAsia="zh-CN"/>
        </w:rPr>
        <w:t>工程量清单</w:t>
      </w:r>
      <w:bookmarkEnd w:id="15"/>
      <w:bookmarkEnd w:id="16"/>
    </w:p>
    <w:p w14:paraId="40C0A530">
      <w:pPr>
        <w:framePr w:wrap="auto" w:vAnchor="margin" w:hAnchor="text" w:yAlign="inline"/>
        <w:rPr>
          <w:rFonts w:hint="eastAsia" w:ascii="宋体" w:hAnsi="宋体" w:eastAsia="宋体" w:cs="宋体"/>
          <w:color w:val="auto"/>
          <w:sz w:val="20"/>
          <w:szCs w:val="20"/>
          <w:highlight w:val="none"/>
          <w:lang w:eastAsia="zh-CN"/>
        </w:rPr>
      </w:pPr>
    </w:p>
    <w:tbl>
      <w:tblPr>
        <w:tblStyle w:val="18"/>
        <w:tblpPr w:leftFromText="180" w:rightFromText="180" w:vertAnchor="text" w:tblpXSpec="center" w:tblpY="1"/>
        <w:tblOverlap w:val="never"/>
        <w:tblW w:w="93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2"/>
        <w:gridCol w:w="1250"/>
        <w:gridCol w:w="1239"/>
        <w:gridCol w:w="524"/>
        <w:gridCol w:w="1180"/>
        <w:gridCol w:w="1513"/>
        <w:gridCol w:w="1614"/>
        <w:gridCol w:w="1425"/>
      </w:tblGrid>
      <w:tr w14:paraId="037AC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 w:hRule="atLeast"/>
        </w:trPr>
        <w:tc>
          <w:tcPr>
            <w:tcW w:w="3101" w:type="dxa"/>
            <w:gridSpan w:val="3"/>
            <w:tcBorders>
              <w:top w:val="nil"/>
              <w:left w:val="nil"/>
              <w:bottom w:val="nil"/>
              <w:right w:val="nil"/>
            </w:tcBorders>
            <w:shd w:val="clear" w:color="auto" w:fill="auto"/>
            <w:noWrap/>
            <w:vAlign w:val="center"/>
          </w:tcPr>
          <w:p w14:paraId="713B963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附件1</w:t>
            </w:r>
          </w:p>
        </w:tc>
        <w:tc>
          <w:tcPr>
            <w:tcW w:w="524" w:type="dxa"/>
            <w:tcBorders>
              <w:top w:val="nil"/>
              <w:left w:val="nil"/>
              <w:bottom w:val="nil"/>
              <w:right w:val="nil"/>
            </w:tcBorders>
            <w:shd w:val="clear" w:color="auto" w:fill="auto"/>
            <w:noWrap/>
            <w:vAlign w:val="center"/>
          </w:tcPr>
          <w:p w14:paraId="6F48A0EC">
            <w:pPr>
              <w:framePr w:wrap="auto" w:vAnchor="margin" w:hAnchor="text" w:yAlign="inline"/>
              <w:rPr>
                <w:rFonts w:hint="eastAsia" w:ascii="宋体" w:hAnsi="宋体" w:eastAsia="宋体" w:cs="宋体"/>
                <w:i w:val="0"/>
                <w:iCs w:val="0"/>
                <w:color w:val="auto"/>
                <w:sz w:val="24"/>
                <w:szCs w:val="24"/>
                <w:u w:val="none"/>
              </w:rPr>
            </w:pPr>
          </w:p>
        </w:tc>
        <w:tc>
          <w:tcPr>
            <w:tcW w:w="1180" w:type="dxa"/>
            <w:tcBorders>
              <w:top w:val="nil"/>
              <w:left w:val="nil"/>
              <w:bottom w:val="nil"/>
              <w:right w:val="nil"/>
            </w:tcBorders>
            <w:shd w:val="clear" w:color="auto" w:fill="auto"/>
            <w:noWrap/>
            <w:vAlign w:val="center"/>
          </w:tcPr>
          <w:p w14:paraId="6E4935BC">
            <w:pPr>
              <w:framePr w:wrap="auto" w:vAnchor="margin" w:hAnchor="text" w:yAlign="inline"/>
              <w:rPr>
                <w:rFonts w:hint="eastAsia" w:ascii="宋体" w:hAnsi="宋体" w:eastAsia="宋体" w:cs="宋体"/>
                <w:i w:val="0"/>
                <w:iCs w:val="0"/>
                <w:color w:val="auto"/>
                <w:sz w:val="24"/>
                <w:szCs w:val="24"/>
                <w:u w:val="none"/>
              </w:rPr>
            </w:pPr>
          </w:p>
        </w:tc>
        <w:tc>
          <w:tcPr>
            <w:tcW w:w="1513" w:type="dxa"/>
            <w:tcBorders>
              <w:top w:val="nil"/>
              <w:left w:val="nil"/>
              <w:bottom w:val="nil"/>
              <w:right w:val="nil"/>
            </w:tcBorders>
            <w:shd w:val="clear" w:color="auto" w:fill="auto"/>
            <w:noWrap/>
            <w:vAlign w:val="center"/>
          </w:tcPr>
          <w:p w14:paraId="550D3FAD">
            <w:pPr>
              <w:framePr w:wrap="auto" w:vAnchor="margin" w:hAnchor="text" w:yAlign="inline"/>
              <w:rPr>
                <w:rFonts w:hint="eastAsia" w:ascii="宋体" w:hAnsi="宋体" w:eastAsia="宋体" w:cs="宋体"/>
                <w:i w:val="0"/>
                <w:iCs w:val="0"/>
                <w:color w:val="auto"/>
                <w:sz w:val="24"/>
                <w:szCs w:val="24"/>
                <w:u w:val="none"/>
              </w:rPr>
            </w:pPr>
          </w:p>
        </w:tc>
        <w:tc>
          <w:tcPr>
            <w:tcW w:w="1614" w:type="dxa"/>
            <w:tcBorders>
              <w:top w:val="nil"/>
              <w:left w:val="nil"/>
              <w:bottom w:val="nil"/>
              <w:right w:val="nil"/>
            </w:tcBorders>
            <w:shd w:val="clear" w:color="auto" w:fill="auto"/>
            <w:noWrap/>
            <w:vAlign w:val="center"/>
          </w:tcPr>
          <w:p w14:paraId="58E2A068">
            <w:pPr>
              <w:framePr w:wrap="auto" w:vAnchor="margin" w:hAnchor="text" w:yAlign="inline"/>
              <w:rPr>
                <w:rFonts w:hint="eastAsia" w:ascii="宋体" w:hAnsi="宋体" w:eastAsia="宋体" w:cs="宋体"/>
                <w:i w:val="0"/>
                <w:iCs w:val="0"/>
                <w:color w:val="auto"/>
                <w:sz w:val="24"/>
                <w:szCs w:val="24"/>
                <w:u w:val="none"/>
              </w:rPr>
            </w:pPr>
          </w:p>
        </w:tc>
        <w:tc>
          <w:tcPr>
            <w:tcW w:w="1425" w:type="dxa"/>
            <w:tcBorders>
              <w:top w:val="nil"/>
              <w:left w:val="nil"/>
              <w:bottom w:val="nil"/>
              <w:right w:val="nil"/>
            </w:tcBorders>
            <w:shd w:val="clear" w:color="auto" w:fill="auto"/>
            <w:noWrap/>
            <w:vAlign w:val="center"/>
          </w:tcPr>
          <w:p w14:paraId="3383729E">
            <w:pPr>
              <w:framePr w:wrap="auto" w:vAnchor="margin" w:hAnchor="text" w:yAlign="inline"/>
              <w:rPr>
                <w:rFonts w:hint="eastAsia" w:ascii="宋体" w:hAnsi="宋体" w:eastAsia="宋体" w:cs="宋体"/>
                <w:i w:val="0"/>
                <w:iCs w:val="0"/>
                <w:color w:val="auto"/>
                <w:sz w:val="24"/>
                <w:szCs w:val="24"/>
                <w:u w:val="none"/>
              </w:rPr>
            </w:pPr>
          </w:p>
        </w:tc>
      </w:tr>
      <w:tr w14:paraId="63B51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7932" w:type="dxa"/>
            <w:gridSpan w:val="7"/>
            <w:tcBorders>
              <w:top w:val="nil"/>
              <w:left w:val="nil"/>
              <w:bottom w:val="nil"/>
              <w:right w:val="nil"/>
            </w:tcBorders>
            <w:shd w:val="clear" w:color="auto" w:fill="auto"/>
            <w:vAlign w:val="center"/>
          </w:tcPr>
          <w:p w14:paraId="1AFE8E0D">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砼</w:t>
            </w:r>
            <w:r>
              <w:rPr>
                <w:rFonts w:hint="eastAsia" w:ascii="宋体" w:hAnsi="宋体" w:eastAsia="宋体" w:cs="宋体"/>
                <w:b/>
                <w:bCs/>
                <w:i w:val="0"/>
                <w:iCs w:val="0"/>
                <w:color w:val="auto"/>
                <w:kern w:val="0"/>
                <w:sz w:val="32"/>
                <w:szCs w:val="32"/>
                <w:u w:val="none"/>
                <w:lang w:val="en-US" w:eastAsia="zh-CN" w:bidi="ar"/>
              </w:rPr>
              <w:t>预应力管桩采购报价表</w:t>
            </w:r>
          </w:p>
        </w:tc>
        <w:tc>
          <w:tcPr>
            <w:tcW w:w="0" w:type="auto"/>
            <w:tcBorders>
              <w:top w:val="nil"/>
              <w:left w:val="nil"/>
              <w:bottom w:val="nil"/>
              <w:right w:val="nil"/>
            </w:tcBorders>
            <w:shd w:val="clear" w:color="auto" w:fill="auto"/>
            <w:noWrap/>
            <w:vAlign w:val="center"/>
          </w:tcPr>
          <w:p w14:paraId="77E319AD">
            <w:pPr>
              <w:framePr w:wrap="auto" w:vAnchor="margin" w:hAnchor="text" w:yAlign="inline"/>
              <w:rPr>
                <w:rFonts w:hint="eastAsia" w:ascii="宋体" w:hAnsi="宋体" w:eastAsia="宋体" w:cs="宋体"/>
                <w:b/>
                <w:bCs/>
                <w:i w:val="0"/>
                <w:iCs w:val="0"/>
                <w:color w:val="auto"/>
                <w:sz w:val="32"/>
                <w:szCs w:val="32"/>
                <w:u w:val="none"/>
              </w:rPr>
            </w:pPr>
          </w:p>
        </w:tc>
      </w:tr>
      <w:tr w14:paraId="250B7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932" w:type="dxa"/>
            <w:gridSpan w:val="7"/>
            <w:tcBorders>
              <w:top w:val="nil"/>
              <w:left w:val="nil"/>
              <w:bottom w:val="nil"/>
              <w:right w:val="nil"/>
            </w:tcBorders>
            <w:shd w:val="clear" w:color="auto" w:fill="auto"/>
            <w:vAlign w:val="center"/>
          </w:tcPr>
          <w:p w14:paraId="4FBC762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工程名称：广东省惠州市惠东县稔山镇蟹洲海堤水闸重建工程</w:t>
            </w:r>
          </w:p>
        </w:tc>
        <w:tc>
          <w:tcPr>
            <w:tcW w:w="0" w:type="auto"/>
            <w:tcBorders>
              <w:top w:val="nil"/>
              <w:left w:val="nil"/>
              <w:bottom w:val="nil"/>
              <w:right w:val="nil"/>
            </w:tcBorders>
            <w:shd w:val="clear" w:color="auto" w:fill="auto"/>
            <w:noWrap/>
            <w:vAlign w:val="center"/>
          </w:tcPr>
          <w:p w14:paraId="6A1A2AA8">
            <w:pPr>
              <w:framePr w:wrap="auto" w:vAnchor="margin" w:hAnchor="text" w:yAlign="inline"/>
              <w:rPr>
                <w:rFonts w:hint="eastAsia" w:ascii="宋体" w:hAnsi="宋体" w:eastAsia="宋体" w:cs="宋体"/>
                <w:i w:val="0"/>
                <w:iCs w:val="0"/>
                <w:color w:val="auto"/>
                <w:sz w:val="24"/>
                <w:szCs w:val="24"/>
                <w:u w:val="none"/>
              </w:rPr>
            </w:pPr>
          </w:p>
        </w:tc>
      </w:tr>
      <w:tr w14:paraId="64986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932" w:type="dxa"/>
            <w:gridSpan w:val="7"/>
            <w:tcBorders>
              <w:top w:val="nil"/>
              <w:left w:val="nil"/>
              <w:bottom w:val="nil"/>
              <w:right w:val="nil"/>
            </w:tcBorders>
            <w:shd w:val="clear" w:color="auto" w:fill="auto"/>
            <w:vAlign w:val="center"/>
          </w:tcPr>
          <w:p w14:paraId="44FDB1D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报价单位（盖章）：</w:t>
            </w:r>
          </w:p>
        </w:tc>
        <w:tc>
          <w:tcPr>
            <w:tcW w:w="0" w:type="auto"/>
            <w:tcBorders>
              <w:top w:val="nil"/>
              <w:left w:val="nil"/>
              <w:bottom w:val="nil"/>
              <w:right w:val="nil"/>
            </w:tcBorders>
            <w:shd w:val="clear" w:color="auto" w:fill="auto"/>
            <w:noWrap/>
            <w:vAlign w:val="center"/>
          </w:tcPr>
          <w:p w14:paraId="50840DF0">
            <w:pPr>
              <w:framePr w:wrap="auto" w:vAnchor="margin" w:hAnchor="text" w:yAlign="inline"/>
              <w:jc w:val="left"/>
              <w:rPr>
                <w:rFonts w:hint="eastAsia" w:ascii="宋体" w:hAnsi="宋体" w:eastAsia="宋体" w:cs="宋体"/>
                <w:i w:val="0"/>
                <w:iCs w:val="0"/>
                <w:color w:val="auto"/>
                <w:sz w:val="24"/>
                <w:szCs w:val="24"/>
                <w:u w:val="none"/>
              </w:rPr>
            </w:pPr>
          </w:p>
        </w:tc>
      </w:tr>
      <w:tr w14:paraId="3D4F1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932" w:type="dxa"/>
            <w:gridSpan w:val="7"/>
            <w:tcBorders>
              <w:top w:val="nil"/>
              <w:left w:val="nil"/>
              <w:bottom w:val="nil"/>
              <w:right w:val="nil"/>
            </w:tcBorders>
            <w:shd w:val="clear" w:color="auto" w:fill="auto"/>
            <w:vAlign w:val="center"/>
          </w:tcPr>
          <w:p w14:paraId="3141DC9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日期：</w:t>
            </w:r>
          </w:p>
        </w:tc>
        <w:tc>
          <w:tcPr>
            <w:tcW w:w="0" w:type="auto"/>
            <w:tcBorders>
              <w:top w:val="nil"/>
              <w:left w:val="nil"/>
              <w:bottom w:val="nil"/>
              <w:right w:val="nil"/>
            </w:tcBorders>
            <w:shd w:val="clear" w:color="auto" w:fill="auto"/>
            <w:noWrap/>
            <w:vAlign w:val="center"/>
          </w:tcPr>
          <w:p w14:paraId="3F2FB2B3">
            <w:pPr>
              <w:framePr w:wrap="auto" w:vAnchor="margin" w:hAnchor="text" w:yAlign="inline"/>
              <w:jc w:val="left"/>
              <w:rPr>
                <w:rFonts w:hint="eastAsia" w:ascii="宋体" w:hAnsi="宋体" w:eastAsia="宋体" w:cs="宋体"/>
                <w:i w:val="0"/>
                <w:iCs w:val="0"/>
                <w:color w:val="auto"/>
                <w:sz w:val="24"/>
                <w:szCs w:val="24"/>
                <w:u w:val="none"/>
              </w:rPr>
            </w:pPr>
          </w:p>
        </w:tc>
      </w:tr>
      <w:tr w14:paraId="363C7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932" w:type="dxa"/>
            <w:gridSpan w:val="7"/>
            <w:tcBorders>
              <w:top w:val="nil"/>
              <w:left w:val="nil"/>
              <w:bottom w:val="nil"/>
              <w:right w:val="nil"/>
            </w:tcBorders>
            <w:shd w:val="clear" w:color="auto" w:fill="auto"/>
            <w:vAlign w:val="center"/>
          </w:tcPr>
          <w:p w14:paraId="4A4973EF">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联系人：</w:t>
            </w:r>
          </w:p>
        </w:tc>
        <w:tc>
          <w:tcPr>
            <w:tcW w:w="0" w:type="auto"/>
            <w:tcBorders>
              <w:top w:val="nil"/>
              <w:left w:val="nil"/>
              <w:bottom w:val="nil"/>
              <w:right w:val="nil"/>
            </w:tcBorders>
            <w:shd w:val="clear" w:color="auto" w:fill="auto"/>
            <w:noWrap/>
            <w:vAlign w:val="center"/>
          </w:tcPr>
          <w:p w14:paraId="7B1C7FCE">
            <w:pPr>
              <w:framePr w:wrap="auto" w:vAnchor="margin" w:hAnchor="text" w:yAlign="inline"/>
              <w:jc w:val="left"/>
              <w:rPr>
                <w:rFonts w:hint="eastAsia" w:ascii="宋体" w:hAnsi="宋体" w:eastAsia="宋体" w:cs="宋体"/>
                <w:i w:val="0"/>
                <w:iCs w:val="0"/>
                <w:color w:val="auto"/>
                <w:sz w:val="24"/>
                <w:szCs w:val="24"/>
                <w:u w:val="none"/>
              </w:rPr>
            </w:pPr>
          </w:p>
        </w:tc>
      </w:tr>
      <w:tr w14:paraId="39826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932" w:type="dxa"/>
            <w:gridSpan w:val="7"/>
            <w:tcBorders>
              <w:top w:val="nil"/>
              <w:left w:val="nil"/>
              <w:bottom w:val="nil"/>
              <w:right w:val="nil"/>
            </w:tcBorders>
            <w:shd w:val="clear" w:color="auto" w:fill="auto"/>
            <w:vAlign w:val="center"/>
          </w:tcPr>
          <w:p w14:paraId="05A8751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联系电话：</w:t>
            </w:r>
          </w:p>
        </w:tc>
        <w:tc>
          <w:tcPr>
            <w:tcW w:w="0" w:type="auto"/>
            <w:tcBorders>
              <w:top w:val="nil"/>
              <w:left w:val="nil"/>
              <w:bottom w:val="nil"/>
              <w:right w:val="nil"/>
            </w:tcBorders>
            <w:shd w:val="clear" w:color="auto" w:fill="auto"/>
            <w:noWrap/>
            <w:vAlign w:val="center"/>
          </w:tcPr>
          <w:p w14:paraId="07A31688">
            <w:pPr>
              <w:framePr w:wrap="auto" w:vAnchor="margin" w:hAnchor="text" w:yAlign="inline"/>
              <w:jc w:val="left"/>
              <w:rPr>
                <w:rFonts w:hint="eastAsia" w:ascii="宋体" w:hAnsi="宋体" w:eastAsia="宋体" w:cs="宋体"/>
                <w:i w:val="0"/>
                <w:iCs w:val="0"/>
                <w:color w:val="auto"/>
                <w:sz w:val="24"/>
                <w:szCs w:val="24"/>
                <w:u w:val="none"/>
              </w:rPr>
            </w:pPr>
          </w:p>
        </w:tc>
      </w:tr>
      <w:tr w14:paraId="3FE99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1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2308209">
            <w:pPr>
              <w:keepNext w:val="0"/>
              <w:keepLines w:val="0"/>
              <w:framePr w:wrap="auto" w:vAnchor="margin" w:hAnchor="text" w:yAlign="inline"/>
              <w:widowControl/>
              <w:suppressLineNumbers w:val="0"/>
              <w:jc w:val="center"/>
              <w:textAlignment w:val="center"/>
              <w:rPr>
                <w:rFonts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250" w:type="dxa"/>
            <w:vMerge w:val="restart"/>
            <w:tcBorders>
              <w:top w:val="single" w:color="000000" w:sz="8" w:space="0"/>
              <w:left w:val="nil"/>
              <w:bottom w:val="single" w:color="000000" w:sz="8" w:space="0"/>
              <w:right w:val="single" w:color="000000" w:sz="8" w:space="0"/>
            </w:tcBorders>
            <w:shd w:val="clear" w:color="auto" w:fill="auto"/>
            <w:vAlign w:val="center"/>
          </w:tcPr>
          <w:p w14:paraId="2759DE1C">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材料名称</w:t>
            </w:r>
          </w:p>
        </w:tc>
        <w:tc>
          <w:tcPr>
            <w:tcW w:w="1239" w:type="dxa"/>
            <w:vMerge w:val="restart"/>
            <w:tcBorders>
              <w:top w:val="single" w:color="000000" w:sz="8" w:space="0"/>
              <w:left w:val="nil"/>
              <w:bottom w:val="single" w:color="000000" w:sz="8" w:space="0"/>
              <w:right w:val="single" w:color="000000" w:sz="8" w:space="0"/>
            </w:tcBorders>
            <w:shd w:val="clear" w:color="auto" w:fill="auto"/>
            <w:vAlign w:val="center"/>
          </w:tcPr>
          <w:p w14:paraId="44BE490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规格</w:t>
            </w:r>
            <w:r>
              <w:rPr>
                <w:rFonts w:hint="eastAsia" w:ascii="仿宋" w:hAnsi="仿宋" w:eastAsia="仿宋" w:cs="仿宋"/>
                <w:b/>
                <w:bCs/>
                <w:i w:val="0"/>
                <w:iCs w:val="0"/>
                <w:color w:val="auto"/>
                <w:kern w:val="0"/>
                <w:sz w:val="24"/>
                <w:szCs w:val="24"/>
                <w:u w:val="none"/>
                <w:lang w:val="en-US" w:eastAsia="zh-CN" w:bidi="ar"/>
              </w:rPr>
              <w:br w:type="textWrapping"/>
            </w:r>
            <w:r>
              <w:rPr>
                <w:rFonts w:hint="eastAsia" w:ascii="仿宋" w:hAnsi="仿宋" w:eastAsia="仿宋" w:cs="仿宋"/>
                <w:b/>
                <w:bCs/>
                <w:i w:val="0"/>
                <w:iCs w:val="0"/>
                <w:color w:val="auto"/>
                <w:kern w:val="0"/>
                <w:sz w:val="24"/>
                <w:szCs w:val="24"/>
                <w:u w:val="none"/>
                <w:lang w:val="en-US" w:eastAsia="zh-CN" w:bidi="ar"/>
              </w:rPr>
              <w:t>型号</w:t>
            </w:r>
          </w:p>
        </w:tc>
        <w:tc>
          <w:tcPr>
            <w:tcW w:w="524" w:type="dxa"/>
            <w:vMerge w:val="restart"/>
            <w:tcBorders>
              <w:top w:val="single" w:color="000000" w:sz="8" w:space="0"/>
              <w:left w:val="nil"/>
              <w:bottom w:val="single" w:color="000000" w:sz="8" w:space="0"/>
              <w:right w:val="single" w:color="000000" w:sz="8" w:space="0"/>
            </w:tcBorders>
            <w:shd w:val="clear" w:color="auto" w:fill="auto"/>
            <w:vAlign w:val="center"/>
          </w:tcPr>
          <w:p w14:paraId="173E0AB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1180" w:type="dxa"/>
            <w:tcBorders>
              <w:top w:val="single" w:color="000000" w:sz="8" w:space="0"/>
              <w:left w:val="nil"/>
              <w:bottom w:val="nil"/>
              <w:right w:val="single" w:color="000000" w:sz="8" w:space="0"/>
            </w:tcBorders>
            <w:shd w:val="clear" w:color="auto" w:fill="auto"/>
            <w:vAlign w:val="center"/>
          </w:tcPr>
          <w:p w14:paraId="0185E17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暂定</w:t>
            </w:r>
          </w:p>
        </w:tc>
        <w:tc>
          <w:tcPr>
            <w:tcW w:w="1513" w:type="dxa"/>
            <w:vMerge w:val="restart"/>
            <w:tcBorders>
              <w:top w:val="single" w:color="000000" w:sz="8" w:space="0"/>
              <w:left w:val="nil"/>
              <w:bottom w:val="single" w:color="000000" w:sz="8" w:space="0"/>
              <w:right w:val="single" w:color="000000" w:sz="8" w:space="0"/>
            </w:tcBorders>
            <w:shd w:val="clear" w:color="auto" w:fill="auto"/>
            <w:vAlign w:val="center"/>
          </w:tcPr>
          <w:p w14:paraId="69A6AAC0">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含增值税单价（元）</w:t>
            </w:r>
          </w:p>
        </w:tc>
        <w:tc>
          <w:tcPr>
            <w:tcW w:w="1614" w:type="dxa"/>
            <w:vMerge w:val="restart"/>
            <w:tcBorders>
              <w:top w:val="single" w:color="000000" w:sz="8" w:space="0"/>
              <w:left w:val="nil"/>
              <w:bottom w:val="single" w:color="000000" w:sz="8" w:space="0"/>
              <w:right w:val="single" w:color="000000" w:sz="8" w:space="0"/>
            </w:tcBorders>
            <w:shd w:val="clear" w:color="auto" w:fill="auto"/>
            <w:vAlign w:val="center"/>
          </w:tcPr>
          <w:p w14:paraId="5F5251D4">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含增值税金额（元）</w:t>
            </w:r>
          </w:p>
        </w:tc>
        <w:tc>
          <w:tcPr>
            <w:tcW w:w="1425" w:type="dxa"/>
            <w:vMerge w:val="restart"/>
            <w:tcBorders>
              <w:top w:val="single" w:color="000000" w:sz="8" w:space="0"/>
              <w:left w:val="nil"/>
              <w:bottom w:val="single" w:color="000000" w:sz="8" w:space="0"/>
              <w:right w:val="single" w:color="000000" w:sz="8" w:space="0"/>
            </w:tcBorders>
            <w:shd w:val="clear" w:color="auto" w:fill="auto"/>
            <w:vAlign w:val="center"/>
          </w:tcPr>
          <w:p w14:paraId="6362F06D">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7B0F7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1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156CB2">
            <w:pPr>
              <w:framePr w:wrap="auto" w:vAnchor="margin" w:hAnchor="text" w:yAlign="inline"/>
              <w:jc w:val="center"/>
              <w:rPr>
                <w:rFonts w:hint="eastAsia" w:ascii="仿宋" w:hAnsi="仿宋" w:eastAsia="仿宋" w:cs="仿宋"/>
                <w:b/>
                <w:bCs/>
                <w:i w:val="0"/>
                <w:iCs w:val="0"/>
                <w:color w:val="auto"/>
                <w:sz w:val="24"/>
                <w:szCs w:val="24"/>
                <w:u w:val="none"/>
              </w:rPr>
            </w:pPr>
          </w:p>
        </w:tc>
        <w:tc>
          <w:tcPr>
            <w:tcW w:w="1250" w:type="dxa"/>
            <w:vMerge w:val="continue"/>
            <w:tcBorders>
              <w:top w:val="single" w:color="000000" w:sz="8" w:space="0"/>
              <w:left w:val="nil"/>
              <w:bottom w:val="single" w:color="000000" w:sz="8" w:space="0"/>
              <w:right w:val="single" w:color="000000" w:sz="8" w:space="0"/>
            </w:tcBorders>
            <w:shd w:val="clear" w:color="auto" w:fill="auto"/>
            <w:vAlign w:val="center"/>
          </w:tcPr>
          <w:p w14:paraId="71DF2C9F">
            <w:pPr>
              <w:framePr w:wrap="auto" w:vAnchor="margin" w:hAnchor="text" w:yAlign="inline"/>
              <w:jc w:val="center"/>
              <w:rPr>
                <w:rFonts w:hint="eastAsia" w:ascii="仿宋" w:hAnsi="仿宋" w:eastAsia="仿宋" w:cs="仿宋"/>
                <w:b/>
                <w:bCs/>
                <w:i w:val="0"/>
                <w:iCs w:val="0"/>
                <w:color w:val="auto"/>
                <w:sz w:val="24"/>
                <w:szCs w:val="24"/>
                <w:u w:val="none"/>
              </w:rPr>
            </w:pPr>
          </w:p>
        </w:tc>
        <w:tc>
          <w:tcPr>
            <w:tcW w:w="1239" w:type="dxa"/>
            <w:vMerge w:val="continue"/>
            <w:tcBorders>
              <w:top w:val="single" w:color="000000" w:sz="8" w:space="0"/>
              <w:left w:val="nil"/>
              <w:bottom w:val="single" w:color="000000" w:sz="8" w:space="0"/>
              <w:right w:val="single" w:color="000000" w:sz="8" w:space="0"/>
            </w:tcBorders>
            <w:shd w:val="clear" w:color="auto" w:fill="auto"/>
            <w:vAlign w:val="center"/>
          </w:tcPr>
          <w:p w14:paraId="65D418D5">
            <w:pPr>
              <w:framePr w:wrap="auto" w:vAnchor="margin" w:hAnchor="text" w:yAlign="inline"/>
              <w:jc w:val="center"/>
              <w:rPr>
                <w:rFonts w:hint="eastAsia" w:ascii="仿宋" w:hAnsi="仿宋" w:eastAsia="仿宋" w:cs="仿宋"/>
                <w:b/>
                <w:bCs/>
                <w:i w:val="0"/>
                <w:iCs w:val="0"/>
                <w:color w:val="auto"/>
                <w:sz w:val="24"/>
                <w:szCs w:val="24"/>
                <w:u w:val="none"/>
              </w:rPr>
            </w:pPr>
          </w:p>
        </w:tc>
        <w:tc>
          <w:tcPr>
            <w:tcW w:w="524" w:type="dxa"/>
            <w:vMerge w:val="continue"/>
            <w:tcBorders>
              <w:top w:val="single" w:color="000000" w:sz="8" w:space="0"/>
              <w:left w:val="nil"/>
              <w:bottom w:val="single" w:color="000000" w:sz="8" w:space="0"/>
              <w:right w:val="single" w:color="000000" w:sz="8" w:space="0"/>
            </w:tcBorders>
            <w:shd w:val="clear" w:color="auto" w:fill="auto"/>
            <w:vAlign w:val="center"/>
          </w:tcPr>
          <w:p w14:paraId="33F4048C">
            <w:pPr>
              <w:framePr w:wrap="auto" w:vAnchor="margin" w:hAnchor="text" w:yAlign="inline"/>
              <w:jc w:val="center"/>
              <w:rPr>
                <w:rFonts w:hint="eastAsia" w:ascii="仿宋" w:hAnsi="仿宋" w:eastAsia="仿宋" w:cs="仿宋"/>
                <w:b/>
                <w:bCs/>
                <w:i w:val="0"/>
                <w:iCs w:val="0"/>
                <w:color w:val="auto"/>
                <w:sz w:val="24"/>
                <w:szCs w:val="24"/>
                <w:u w:val="none"/>
              </w:rPr>
            </w:pPr>
          </w:p>
        </w:tc>
        <w:tc>
          <w:tcPr>
            <w:tcW w:w="1180" w:type="dxa"/>
            <w:tcBorders>
              <w:top w:val="nil"/>
              <w:left w:val="nil"/>
              <w:bottom w:val="single" w:color="000000" w:sz="8" w:space="0"/>
              <w:right w:val="single" w:color="000000" w:sz="8" w:space="0"/>
            </w:tcBorders>
            <w:shd w:val="clear" w:color="auto" w:fill="auto"/>
            <w:vAlign w:val="center"/>
          </w:tcPr>
          <w:p w14:paraId="6B68F67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1513" w:type="dxa"/>
            <w:vMerge w:val="continue"/>
            <w:tcBorders>
              <w:top w:val="single" w:color="000000" w:sz="8" w:space="0"/>
              <w:left w:val="nil"/>
              <w:bottom w:val="single" w:color="000000" w:sz="8" w:space="0"/>
              <w:right w:val="single" w:color="000000" w:sz="8" w:space="0"/>
            </w:tcBorders>
            <w:shd w:val="clear" w:color="auto" w:fill="auto"/>
            <w:vAlign w:val="center"/>
          </w:tcPr>
          <w:p w14:paraId="08925972">
            <w:pPr>
              <w:framePr w:wrap="auto" w:vAnchor="margin" w:hAnchor="text" w:yAlign="inline"/>
              <w:jc w:val="center"/>
              <w:rPr>
                <w:rFonts w:hint="eastAsia" w:ascii="仿宋" w:hAnsi="仿宋" w:eastAsia="仿宋" w:cs="仿宋"/>
                <w:b/>
                <w:bCs/>
                <w:i w:val="0"/>
                <w:iCs w:val="0"/>
                <w:color w:val="auto"/>
                <w:sz w:val="24"/>
                <w:szCs w:val="24"/>
                <w:u w:val="none"/>
              </w:rPr>
            </w:pPr>
          </w:p>
        </w:tc>
        <w:tc>
          <w:tcPr>
            <w:tcW w:w="1614" w:type="dxa"/>
            <w:vMerge w:val="continue"/>
            <w:tcBorders>
              <w:top w:val="single" w:color="000000" w:sz="8" w:space="0"/>
              <w:left w:val="nil"/>
              <w:bottom w:val="single" w:color="000000" w:sz="8" w:space="0"/>
              <w:right w:val="single" w:color="000000" w:sz="8" w:space="0"/>
            </w:tcBorders>
            <w:shd w:val="clear" w:color="auto" w:fill="auto"/>
            <w:vAlign w:val="center"/>
          </w:tcPr>
          <w:p w14:paraId="20E9B7CC">
            <w:pPr>
              <w:framePr w:wrap="auto" w:vAnchor="margin" w:hAnchor="text" w:yAlign="inline"/>
              <w:jc w:val="center"/>
              <w:rPr>
                <w:rFonts w:hint="eastAsia" w:ascii="仿宋" w:hAnsi="仿宋" w:eastAsia="仿宋" w:cs="仿宋"/>
                <w:b/>
                <w:bCs/>
                <w:i w:val="0"/>
                <w:iCs w:val="0"/>
                <w:color w:val="auto"/>
                <w:sz w:val="24"/>
                <w:szCs w:val="24"/>
                <w:u w:val="none"/>
              </w:rPr>
            </w:pPr>
          </w:p>
        </w:tc>
        <w:tc>
          <w:tcPr>
            <w:tcW w:w="1425" w:type="dxa"/>
            <w:vMerge w:val="continue"/>
            <w:tcBorders>
              <w:top w:val="single" w:color="000000" w:sz="8" w:space="0"/>
              <w:left w:val="nil"/>
              <w:bottom w:val="single" w:color="000000" w:sz="8" w:space="0"/>
              <w:right w:val="single" w:color="000000" w:sz="8" w:space="0"/>
            </w:tcBorders>
            <w:shd w:val="clear" w:color="auto" w:fill="auto"/>
            <w:vAlign w:val="center"/>
          </w:tcPr>
          <w:p w14:paraId="2DCCB3D3">
            <w:pPr>
              <w:framePr w:wrap="auto" w:vAnchor="margin" w:hAnchor="text" w:yAlign="inline"/>
              <w:jc w:val="center"/>
              <w:rPr>
                <w:rFonts w:hint="eastAsia" w:ascii="仿宋" w:hAnsi="仿宋" w:eastAsia="仿宋" w:cs="仿宋"/>
                <w:b/>
                <w:bCs/>
                <w:i w:val="0"/>
                <w:iCs w:val="0"/>
                <w:color w:val="auto"/>
                <w:sz w:val="24"/>
                <w:szCs w:val="24"/>
                <w:u w:val="none"/>
              </w:rPr>
            </w:pPr>
          </w:p>
        </w:tc>
      </w:tr>
      <w:tr w14:paraId="7F6F7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9" w:hRule="atLeast"/>
        </w:trPr>
        <w:tc>
          <w:tcPr>
            <w:tcW w:w="612" w:type="dxa"/>
            <w:tcBorders>
              <w:top w:val="nil"/>
              <w:left w:val="single" w:color="000000" w:sz="8" w:space="0"/>
              <w:bottom w:val="single" w:color="000000" w:sz="8" w:space="0"/>
              <w:right w:val="single" w:color="000000" w:sz="8" w:space="0"/>
            </w:tcBorders>
            <w:shd w:val="clear" w:color="auto" w:fill="auto"/>
            <w:vAlign w:val="center"/>
          </w:tcPr>
          <w:p w14:paraId="1E810A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50" w:type="dxa"/>
            <w:tcBorders>
              <w:top w:val="nil"/>
              <w:left w:val="nil"/>
              <w:bottom w:val="single" w:color="000000" w:sz="8" w:space="0"/>
              <w:right w:val="single" w:color="000000" w:sz="8" w:space="0"/>
            </w:tcBorders>
            <w:shd w:val="clear" w:color="auto" w:fill="auto"/>
            <w:vAlign w:val="center"/>
          </w:tcPr>
          <w:p w14:paraId="2AC2163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C80砼预应力管桩</w:t>
            </w:r>
          </w:p>
        </w:tc>
        <w:tc>
          <w:tcPr>
            <w:tcW w:w="1239" w:type="dxa"/>
            <w:tcBorders>
              <w:top w:val="nil"/>
              <w:left w:val="nil"/>
              <w:bottom w:val="single" w:color="000000" w:sz="8" w:space="0"/>
              <w:right w:val="single" w:color="000000" w:sz="8" w:space="0"/>
            </w:tcBorders>
            <w:shd w:val="clear" w:color="auto" w:fill="auto"/>
            <w:vAlign w:val="center"/>
          </w:tcPr>
          <w:p w14:paraId="08CEECE4">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φ500PHC-AB-120</w:t>
            </w:r>
          </w:p>
        </w:tc>
        <w:tc>
          <w:tcPr>
            <w:tcW w:w="524" w:type="dxa"/>
            <w:tcBorders>
              <w:top w:val="nil"/>
              <w:left w:val="nil"/>
              <w:bottom w:val="single" w:color="000000" w:sz="8" w:space="0"/>
              <w:right w:val="single" w:color="000000" w:sz="8" w:space="0"/>
            </w:tcBorders>
            <w:shd w:val="clear" w:color="auto" w:fill="auto"/>
            <w:vAlign w:val="center"/>
          </w:tcPr>
          <w:p w14:paraId="565463B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w:t>
            </w:r>
          </w:p>
        </w:tc>
        <w:tc>
          <w:tcPr>
            <w:tcW w:w="1180" w:type="dxa"/>
            <w:tcBorders>
              <w:top w:val="nil"/>
              <w:left w:val="nil"/>
              <w:bottom w:val="single" w:color="000000" w:sz="8" w:space="0"/>
              <w:right w:val="single" w:color="000000" w:sz="8" w:space="0"/>
            </w:tcBorders>
            <w:shd w:val="clear" w:color="auto" w:fill="auto"/>
            <w:vAlign w:val="center"/>
          </w:tcPr>
          <w:p w14:paraId="5287D78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12460</w:t>
            </w:r>
          </w:p>
        </w:tc>
        <w:tc>
          <w:tcPr>
            <w:tcW w:w="1513" w:type="dxa"/>
            <w:tcBorders>
              <w:top w:val="nil"/>
              <w:left w:val="nil"/>
              <w:bottom w:val="single" w:color="000000" w:sz="8" w:space="0"/>
              <w:right w:val="single" w:color="000000" w:sz="8" w:space="0"/>
            </w:tcBorders>
            <w:shd w:val="clear" w:color="auto" w:fill="auto"/>
            <w:vAlign w:val="center"/>
          </w:tcPr>
          <w:p w14:paraId="3E75E71E">
            <w:pPr>
              <w:framePr w:wrap="auto" w:vAnchor="margin" w:hAnchor="text" w:yAlign="inline"/>
              <w:jc w:val="center"/>
              <w:rPr>
                <w:rFonts w:hint="eastAsia" w:ascii="仿宋" w:hAnsi="仿宋" w:eastAsia="仿宋" w:cs="仿宋"/>
                <w:i w:val="0"/>
                <w:iCs w:val="0"/>
                <w:color w:val="auto"/>
                <w:sz w:val="24"/>
                <w:szCs w:val="24"/>
                <w:u w:val="none"/>
              </w:rPr>
            </w:pPr>
          </w:p>
        </w:tc>
        <w:tc>
          <w:tcPr>
            <w:tcW w:w="1614" w:type="dxa"/>
            <w:tcBorders>
              <w:top w:val="nil"/>
              <w:left w:val="nil"/>
              <w:bottom w:val="single" w:color="000000" w:sz="8" w:space="0"/>
              <w:right w:val="single" w:color="000000" w:sz="8" w:space="0"/>
            </w:tcBorders>
            <w:shd w:val="clear" w:color="auto" w:fill="auto"/>
            <w:vAlign w:val="center"/>
          </w:tcPr>
          <w:p w14:paraId="792213ED">
            <w:pPr>
              <w:framePr w:wrap="auto" w:vAnchor="margin" w:hAnchor="text" w:yAlign="inline"/>
              <w:jc w:val="right"/>
              <w:rPr>
                <w:rFonts w:hint="eastAsia" w:ascii="仿宋" w:hAnsi="仿宋" w:eastAsia="仿宋" w:cs="仿宋"/>
                <w:i w:val="0"/>
                <w:iCs w:val="0"/>
                <w:color w:val="auto"/>
                <w:sz w:val="24"/>
                <w:szCs w:val="24"/>
                <w:u w:val="none"/>
              </w:rPr>
            </w:pPr>
          </w:p>
        </w:tc>
        <w:tc>
          <w:tcPr>
            <w:tcW w:w="1425" w:type="dxa"/>
            <w:vMerge w:val="restart"/>
            <w:tcBorders>
              <w:top w:val="nil"/>
              <w:left w:val="nil"/>
              <w:bottom w:val="single" w:color="000000" w:sz="8" w:space="0"/>
              <w:right w:val="single" w:color="000000" w:sz="8" w:space="0"/>
            </w:tcBorders>
            <w:shd w:val="clear" w:color="auto" w:fill="auto"/>
            <w:vAlign w:val="center"/>
          </w:tcPr>
          <w:p w14:paraId="71F8101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短桩配比占总桩长10%内不计短桩费，超出10%部分短桩加</w:t>
            </w:r>
            <w:r>
              <w:rPr>
                <w:rFonts w:hint="eastAsia" w:ascii="仿宋" w:hAnsi="仿宋" w:eastAsia="仿宋" w:cs="仿宋"/>
                <w:i w:val="0"/>
                <w:iCs w:val="0"/>
                <w:color w:val="auto"/>
                <w:kern w:val="0"/>
                <w:sz w:val="24"/>
                <w:szCs w:val="24"/>
                <w:u w:val="none"/>
                <w:lang w:val="en-US" w:eastAsia="zh-CN" w:bidi="ar"/>
              </w:rPr>
              <w:t>收</w:t>
            </w:r>
            <w:r>
              <w:rPr>
                <w:rFonts w:hint="eastAsia" w:ascii="仿宋" w:hAnsi="仿宋" w:eastAsia="仿宋" w:cs="仿宋"/>
                <w:i w:val="0"/>
                <w:iCs w:val="0"/>
                <w:color w:val="auto"/>
                <w:kern w:val="0"/>
                <w:sz w:val="24"/>
                <w:szCs w:val="24"/>
                <w:u w:val="single"/>
                <w:lang w:val="en-US" w:eastAsia="zh-CN" w:bidi="ar"/>
              </w:rPr>
              <w:t xml:space="preserve">   </w:t>
            </w:r>
            <w:r>
              <w:rPr>
                <w:rFonts w:hint="eastAsia" w:ascii="仿宋" w:hAnsi="仿宋" w:eastAsia="仿宋" w:cs="仿宋"/>
                <w:i w:val="0"/>
                <w:iCs w:val="0"/>
                <w:color w:val="auto"/>
                <w:kern w:val="0"/>
                <w:sz w:val="24"/>
                <w:szCs w:val="24"/>
                <w:u w:val="none"/>
                <w:lang w:val="en-US" w:eastAsia="zh-CN" w:bidi="ar"/>
              </w:rPr>
              <w:t>元</w:t>
            </w:r>
            <w:r>
              <w:rPr>
                <w:rFonts w:hint="eastAsia" w:ascii="仿宋" w:hAnsi="仿宋" w:eastAsia="仿宋" w:cs="仿宋"/>
                <w:i w:val="0"/>
                <w:iCs w:val="0"/>
                <w:color w:val="auto"/>
                <w:kern w:val="0"/>
                <w:sz w:val="24"/>
                <w:szCs w:val="24"/>
                <w:u w:val="none"/>
                <w:lang w:val="en-US" w:eastAsia="zh-CN" w:bidi="ar"/>
              </w:rPr>
              <w:t>/米。（5～8米为短桩）</w:t>
            </w:r>
          </w:p>
        </w:tc>
      </w:tr>
      <w:tr w14:paraId="5A0EA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0" w:hRule="atLeast"/>
        </w:trPr>
        <w:tc>
          <w:tcPr>
            <w:tcW w:w="612" w:type="dxa"/>
            <w:tcBorders>
              <w:top w:val="nil"/>
              <w:left w:val="single" w:color="000000" w:sz="8" w:space="0"/>
              <w:bottom w:val="single" w:color="000000" w:sz="8" w:space="0"/>
              <w:right w:val="single" w:color="000000" w:sz="8" w:space="0"/>
            </w:tcBorders>
            <w:shd w:val="clear" w:color="auto" w:fill="auto"/>
            <w:vAlign w:val="center"/>
          </w:tcPr>
          <w:p w14:paraId="249732E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250" w:type="dxa"/>
            <w:tcBorders>
              <w:top w:val="nil"/>
              <w:left w:val="nil"/>
              <w:bottom w:val="single" w:color="000000" w:sz="8" w:space="0"/>
              <w:right w:val="single" w:color="000000" w:sz="8" w:space="0"/>
            </w:tcBorders>
            <w:shd w:val="clear" w:color="auto" w:fill="auto"/>
            <w:vAlign w:val="center"/>
          </w:tcPr>
          <w:p w14:paraId="172420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短桩增加费</w:t>
            </w:r>
          </w:p>
        </w:tc>
        <w:tc>
          <w:tcPr>
            <w:tcW w:w="1239" w:type="dxa"/>
            <w:tcBorders>
              <w:top w:val="nil"/>
              <w:left w:val="nil"/>
              <w:bottom w:val="single" w:color="000000" w:sz="8" w:space="0"/>
              <w:right w:val="single" w:color="000000" w:sz="8" w:space="0"/>
            </w:tcBorders>
            <w:shd w:val="clear" w:color="auto" w:fill="auto"/>
            <w:vAlign w:val="center"/>
          </w:tcPr>
          <w:p w14:paraId="73A64740">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（5～8米为短桩）</w:t>
            </w:r>
          </w:p>
        </w:tc>
        <w:tc>
          <w:tcPr>
            <w:tcW w:w="524" w:type="dxa"/>
            <w:tcBorders>
              <w:top w:val="nil"/>
              <w:left w:val="nil"/>
              <w:bottom w:val="single" w:color="000000" w:sz="8" w:space="0"/>
              <w:right w:val="single" w:color="000000" w:sz="8" w:space="0"/>
            </w:tcBorders>
            <w:shd w:val="clear" w:color="auto" w:fill="auto"/>
            <w:vAlign w:val="center"/>
          </w:tcPr>
          <w:p w14:paraId="23D3B7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w:t>
            </w:r>
          </w:p>
        </w:tc>
        <w:tc>
          <w:tcPr>
            <w:tcW w:w="1180" w:type="dxa"/>
            <w:tcBorders>
              <w:top w:val="nil"/>
              <w:left w:val="nil"/>
              <w:bottom w:val="single" w:color="000000" w:sz="8" w:space="0"/>
              <w:right w:val="single" w:color="000000" w:sz="8" w:space="0"/>
            </w:tcBorders>
            <w:shd w:val="clear" w:color="auto" w:fill="auto"/>
            <w:vAlign w:val="center"/>
          </w:tcPr>
          <w:p w14:paraId="64C1C6B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288</w:t>
            </w:r>
          </w:p>
        </w:tc>
        <w:tc>
          <w:tcPr>
            <w:tcW w:w="1513" w:type="dxa"/>
            <w:tcBorders>
              <w:top w:val="nil"/>
              <w:left w:val="nil"/>
              <w:bottom w:val="single" w:color="000000" w:sz="8" w:space="0"/>
              <w:right w:val="single" w:color="000000" w:sz="8" w:space="0"/>
            </w:tcBorders>
            <w:shd w:val="clear" w:color="auto" w:fill="auto"/>
            <w:vAlign w:val="center"/>
          </w:tcPr>
          <w:p w14:paraId="024199DD">
            <w:pPr>
              <w:framePr w:wrap="auto" w:vAnchor="margin" w:hAnchor="text" w:yAlign="inline"/>
              <w:jc w:val="center"/>
              <w:rPr>
                <w:rFonts w:hint="eastAsia" w:ascii="仿宋" w:hAnsi="仿宋" w:eastAsia="仿宋" w:cs="仿宋"/>
                <w:i w:val="0"/>
                <w:iCs w:val="0"/>
                <w:color w:val="auto"/>
                <w:sz w:val="24"/>
                <w:szCs w:val="24"/>
                <w:u w:val="none"/>
              </w:rPr>
            </w:pPr>
          </w:p>
        </w:tc>
        <w:tc>
          <w:tcPr>
            <w:tcW w:w="1614" w:type="dxa"/>
            <w:tcBorders>
              <w:top w:val="nil"/>
              <w:left w:val="nil"/>
              <w:bottom w:val="single" w:color="000000" w:sz="8" w:space="0"/>
              <w:right w:val="single" w:color="000000" w:sz="8" w:space="0"/>
            </w:tcBorders>
            <w:shd w:val="clear" w:color="auto" w:fill="auto"/>
            <w:vAlign w:val="center"/>
          </w:tcPr>
          <w:p w14:paraId="07E90DAD">
            <w:pPr>
              <w:framePr w:wrap="auto" w:vAnchor="margin" w:hAnchor="text" w:yAlign="inline"/>
              <w:jc w:val="right"/>
              <w:rPr>
                <w:rFonts w:hint="eastAsia" w:ascii="仿宋" w:hAnsi="仿宋" w:eastAsia="仿宋" w:cs="仿宋"/>
                <w:i w:val="0"/>
                <w:iCs w:val="0"/>
                <w:color w:val="auto"/>
                <w:sz w:val="24"/>
                <w:szCs w:val="24"/>
                <w:u w:val="none"/>
              </w:rPr>
            </w:pPr>
          </w:p>
        </w:tc>
        <w:tc>
          <w:tcPr>
            <w:tcW w:w="1425" w:type="dxa"/>
            <w:vMerge w:val="continue"/>
            <w:tcBorders>
              <w:top w:val="nil"/>
              <w:left w:val="nil"/>
              <w:bottom w:val="single" w:color="000000" w:sz="8" w:space="0"/>
              <w:right w:val="single" w:color="000000" w:sz="8" w:space="0"/>
            </w:tcBorders>
            <w:shd w:val="clear" w:color="auto" w:fill="auto"/>
            <w:vAlign w:val="center"/>
          </w:tcPr>
          <w:p w14:paraId="44CA0FB6">
            <w:pPr>
              <w:framePr w:wrap="auto" w:vAnchor="margin" w:hAnchor="text" w:yAlign="inline"/>
              <w:jc w:val="center"/>
              <w:rPr>
                <w:rFonts w:hint="eastAsia" w:ascii="仿宋" w:hAnsi="仿宋" w:eastAsia="仿宋" w:cs="仿宋"/>
                <w:i w:val="0"/>
                <w:iCs w:val="0"/>
                <w:color w:val="auto"/>
                <w:sz w:val="24"/>
                <w:szCs w:val="24"/>
                <w:u w:val="none"/>
              </w:rPr>
            </w:pPr>
          </w:p>
        </w:tc>
      </w:tr>
      <w:tr w14:paraId="2E5CB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318" w:type="dxa"/>
            <w:gridSpan w:val="6"/>
            <w:tcBorders>
              <w:top w:val="nil"/>
              <w:left w:val="single" w:color="000000" w:sz="8" w:space="0"/>
              <w:bottom w:val="single" w:color="000000" w:sz="8" w:space="0"/>
              <w:right w:val="single" w:color="000000" w:sz="8" w:space="0"/>
            </w:tcBorders>
            <w:shd w:val="clear" w:color="auto" w:fill="auto"/>
            <w:vAlign w:val="center"/>
          </w:tcPr>
          <w:p w14:paraId="52E15801">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含税金额总价</w:t>
            </w:r>
          </w:p>
        </w:tc>
        <w:tc>
          <w:tcPr>
            <w:tcW w:w="1614" w:type="dxa"/>
            <w:tcBorders>
              <w:top w:val="nil"/>
              <w:left w:val="nil"/>
              <w:bottom w:val="single" w:color="000000" w:sz="8" w:space="0"/>
              <w:right w:val="single" w:color="000000" w:sz="8" w:space="0"/>
            </w:tcBorders>
            <w:shd w:val="clear" w:color="auto" w:fill="auto"/>
            <w:vAlign w:val="center"/>
          </w:tcPr>
          <w:p w14:paraId="56A09B3B">
            <w:pPr>
              <w:framePr w:wrap="auto" w:vAnchor="margin" w:hAnchor="text" w:yAlign="inline"/>
              <w:jc w:val="right"/>
              <w:rPr>
                <w:rFonts w:hint="eastAsia" w:ascii="仿宋" w:hAnsi="仿宋" w:eastAsia="仿宋" w:cs="仿宋"/>
                <w:b/>
                <w:bCs/>
                <w:i w:val="0"/>
                <w:iCs w:val="0"/>
                <w:color w:val="auto"/>
                <w:sz w:val="24"/>
                <w:szCs w:val="24"/>
                <w:u w:val="none"/>
              </w:rPr>
            </w:pPr>
          </w:p>
        </w:tc>
        <w:tc>
          <w:tcPr>
            <w:tcW w:w="1425" w:type="dxa"/>
            <w:tcBorders>
              <w:top w:val="nil"/>
              <w:left w:val="nil"/>
              <w:bottom w:val="single" w:color="000000" w:sz="8" w:space="0"/>
              <w:right w:val="single" w:color="000000" w:sz="8" w:space="0"/>
            </w:tcBorders>
            <w:shd w:val="clear" w:color="auto" w:fill="auto"/>
            <w:vAlign w:val="center"/>
          </w:tcPr>
          <w:p w14:paraId="2CF5E621">
            <w:pPr>
              <w:framePr w:wrap="auto" w:vAnchor="margin" w:hAnchor="text" w:yAlign="inline"/>
              <w:jc w:val="center"/>
              <w:rPr>
                <w:rFonts w:hint="eastAsia" w:ascii="仿宋" w:hAnsi="仿宋" w:eastAsia="仿宋" w:cs="仿宋"/>
                <w:i w:val="0"/>
                <w:iCs w:val="0"/>
                <w:color w:val="auto"/>
                <w:sz w:val="24"/>
                <w:szCs w:val="24"/>
                <w:u w:val="none"/>
              </w:rPr>
            </w:pPr>
          </w:p>
        </w:tc>
      </w:tr>
      <w:tr w14:paraId="35CC9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318" w:type="dxa"/>
            <w:gridSpan w:val="6"/>
            <w:tcBorders>
              <w:top w:val="nil"/>
              <w:left w:val="single" w:color="000000" w:sz="8" w:space="0"/>
              <w:bottom w:val="single" w:color="000000" w:sz="8" w:space="0"/>
              <w:right w:val="single" w:color="000000" w:sz="8" w:space="0"/>
            </w:tcBorders>
            <w:shd w:val="clear" w:color="auto" w:fill="auto"/>
            <w:vAlign w:val="center"/>
          </w:tcPr>
          <w:p w14:paraId="1F400A6C">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增值税（</w:t>
            </w:r>
            <w:r>
              <w:rPr>
                <w:rFonts w:hint="eastAsia" w:ascii="仿宋" w:hAnsi="仿宋" w:eastAsia="仿宋" w:cs="仿宋"/>
                <w:b/>
                <w:bCs/>
                <w:i w:val="0"/>
                <w:iCs w:val="0"/>
                <w:color w:val="auto"/>
                <w:kern w:val="0"/>
                <w:sz w:val="24"/>
                <w:szCs w:val="24"/>
                <w:u w:val="single"/>
                <w:lang w:val="en-US" w:eastAsia="zh-CN" w:bidi="ar"/>
              </w:rPr>
              <w:t xml:space="preserve">   </w:t>
            </w:r>
            <w:r>
              <w:rPr>
                <w:rFonts w:hint="eastAsia" w:ascii="仿宋" w:hAnsi="仿宋" w:eastAsia="仿宋" w:cs="仿宋"/>
                <w:b/>
                <w:bCs/>
                <w:i w:val="0"/>
                <w:iCs w:val="0"/>
                <w:color w:val="auto"/>
                <w:kern w:val="0"/>
                <w:sz w:val="24"/>
                <w:szCs w:val="24"/>
                <w:u w:val="none"/>
                <w:lang w:val="en-US" w:eastAsia="zh-CN" w:bidi="ar"/>
              </w:rPr>
              <w:t>%）</w:t>
            </w:r>
          </w:p>
        </w:tc>
        <w:tc>
          <w:tcPr>
            <w:tcW w:w="1614" w:type="dxa"/>
            <w:tcBorders>
              <w:top w:val="nil"/>
              <w:left w:val="nil"/>
              <w:bottom w:val="single" w:color="000000" w:sz="8" w:space="0"/>
              <w:right w:val="single" w:color="000000" w:sz="8" w:space="0"/>
            </w:tcBorders>
            <w:shd w:val="clear" w:color="auto" w:fill="auto"/>
            <w:vAlign w:val="center"/>
          </w:tcPr>
          <w:p w14:paraId="06EE2FED">
            <w:pPr>
              <w:framePr w:wrap="auto" w:vAnchor="margin" w:hAnchor="text" w:yAlign="inline"/>
              <w:jc w:val="right"/>
              <w:rPr>
                <w:rFonts w:hint="eastAsia" w:ascii="仿宋" w:hAnsi="仿宋" w:eastAsia="仿宋" w:cs="仿宋"/>
                <w:b/>
                <w:bCs/>
                <w:i w:val="0"/>
                <w:iCs w:val="0"/>
                <w:color w:val="auto"/>
                <w:sz w:val="24"/>
                <w:szCs w:val="24"/>
                <w:u w:val="none"/>
              </w:rPr>
            </w:pPr>
          </w:p>
        </w:tc>
        <w:tc>
          <w:tcPr>
            <w:tcW w:w="1425" w:type="dxa"/>
            <w:tcBorders>
              <w:top w:val="nil"/>
              <w:left w:val="nil"/>
              <w:bottom w:val="single" w:color="000000" w:sz="8" w:space="0"/>
              <w:right w:val="single" w:color="000000" w:sz="8" w:space="0"/>
            </w:tcBorders>
            <w:shd w:val="clear" w:color="auto" w:fill="auto"/>
            <w:vAlign w:val="center"/>
          </w:tcPr>
          <w:p w14:paraId="0D7912D5">
            <w:pPr>
              <w:framePr w:wrap="auto" w:vAnchor="margin" w:hAnchor="text" w:yAlign="inline"/>
              <w:jc w:val="center"/>
              <w:rPr>
                <w:rFonts w:hint="eastAsia" w:ascii="仿宋" w:hAnsi="仿宋" w:eastAsia="仿宋" w:cs="仿宋"/>
                <w:i w:val="0"/>
                <w:iCs w:val="0"/>
                <w:color w:val="auto"/>
                <w:sz w:val="24"/>
                <w:szCs w:val="24"/>
                <w:u w:val="none"/>
              </w:rPr>
            </w:pPr>
          </w:p>
        </w:tc>
      </w:tr>
      <w:tr w14:paraId="0E736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318" w:type="dxa"/>
            <w:gridSpan w:val="6"/>
            <w:tcBorders>
              <w:top w:val="nil"/>
              <w:left w:val="single" w:color="000000" w:sz="8" w:space="0"/>
              <w:bottom w:val="single" w:color="000000" w:sz="8" w:space="0"/>
              <w:right w:val="single" w:color="000000" w:sz="8" w:space="0"/>
            </w:tcBorders>
            <w:shd w:val="clear" w:color="auto" w:fill="auto"/>
            <w:vAlign w:val="center"/>
          </w:tcPr>
          <w:p w14:paraId="4AA0FEA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不含税金额总价</w:t>
            </w:r>
          </w:p>
        </w:tc>
        <w:tc>
          <w:tcPr>
            <w:tcW w:w="1614" w:type="dxa"/>
            <w:tcBorders>
              <w:top w:val="nil"/>
              <w:left w:val="nil"/>
              <w:bottom w:val="single" w:color="000000" w:sz="8" w:space="0"/>
              <w:right w:val="single" w:color="000000" w:sz="8" w:space="0"/>
            </w:tcBorders>
            <w:shd w:val="clear" w:color="auto" w:fill="auto"/>
            <w:vAlign w:val="center"/>
          </w:tcPr>
          <w:p w14:paraId="4FA7F787">
            <w:pPr>
              <w:framePr w:wrap="auto" w:vAnchor="margin" w:hAnchor="text" w:yAlign="inline"/>
              <w:jc w:val="right"/>
              <w:rPr>
                <w:rFonts w:hint="eastAsia" w:ascii="仿宋" w:hAnsi="仿宋" w:eastAsia="仿宋" w:cs="仿宋"/>
                <w:b/>
                <w:bCs/>
                <w:i w:val="0"/>
                <w:iCs w:val="0"/>
                <w:color w:val="auto"/>
                <w:sz w:val="24"/>
                <w:szCs w:val="24"/>
                <w:u w:val="none"/>
              </w:rPr>
            </w:pPr>
          </w:p>
        </w:tc>
        <w:tc>
          <w:tcPr>
            <w:tcW w:w="0" w:type="auto"/>
            <w:tcBorders>
              <w:top w:val="nil"/>
              <w:left w:val="nil"/>
              <w:bottom w:val="single" w:color="000000" w:sz="8" w:space="0"/>
              <w:right w:val="single" w:color="000000" w:sz="8" w:space="0"/>
            </w:tcBorders>
            <w:shd w:val="clear" w:color="auto" w:fill="auto"/>
            <w:noWrap/>
            <w:vAlign w:val="center"/>
          </w:tcPr>
          <w:p w14:paraId="33EA34D5">
            <w:pPr>
              <w:framePr w:wrap="auto" w:vAnchor="margin" w:hAnchor="text" w:yAlign="inline"/>
              <w:rPr>
                <w:rFonts w:hint="eastAsia" w:ascii="宋体" w:hAnsi="宋体" w:eastAsia="宋体" w:cs="宋体"/>
                <w:i w:val="0"/>
                <w:iCs w:val="0"/>
                <w:color w:val="auto"/>
                <w:sz w:val="24"/>
                <w:szCs w:val="24"/>
                <w:u w:val="none"/>
              </w:rPr>
            </w:pPr>
          </w:p>
        </w:tc>
      </w:tr>
      <w:tr w14:paraId="50BD6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8" w:hRule="atLeast"/>
        </w:trPr>
        <w:tc>
          <w:tcPr>
            <w:tcW w:w="9357" w:type="dxa"/>
            <w:gridSpan w:val="8"/>
            <w:tcBorders>
              <w:top w:val="nil"/>
              <w:left w:val="nil"/>
              <w:bottom w:val="nil"/>
              <w:right w:val="nil"/>
            </w:tcBorders>
            <w:shd w:val="clear" w:color="auto" w:fill="auto"/>
            <w:vAlign w:val="center"/>
          </w:tcPr>
          <w:p w14:paraId="0922AB24">
            <w:pPr>
              <w:keepNext w:val="0"/>
              <w:keepLines w:val="0"/>
              <w:framePr w:wrap="auto" w:vAnchor="margin" w:hAnchor="text" w:yAlign="inline"/>
              <w:widowControl/>
              <w:suppressLineNumbers w:val="0"/>
              <w:jc w:val="left"/>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 xml:space="preserve">  结算和支付</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1.计量支付和结算原则</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  本合同执行签订合同5天内甲方向乙方支付合同总金额15%作为预应力管桩材料订金款，订金款从第一次结算款支付中一次性扣回。</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2.中期支付</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  甲方每月 25  日前对乙方自上月  1  日至本月  1  日前完成的合格材料数量进行中间计量，由甲方根据自身资金情况及建设单位支付工程款情况扣减应扣费用后向乙方支付至完成应付款项费用的</w:t>
            </w:r>
            <w:r>
              <w:rPr>
                <w:rFonts w:hint="eastAsia" w:ascii="宋体" w:hAnsi="宋体" w:eastAsia="宋体" w:cs="宋体"/>
                <w:i w:val="0"/>
                <w:iCs w:val="0"/>
                <w:color w:val="auto"/>
                <w:kern w:val="0"/>
                <w:sz w:val="24"/>
                <w:szCs w:val="24"/>
                <w:u w:val="single"/>
                <w:lang w:val="en-US" w:eastAsia="zh-CN" w:bidi="ar"/>
              </w:rPr>
              <w:t xml:space="preserve">  </w:t>
            </w:r>
            <w:r>
              <w:rPr>
                <w:rFonts w:hint="eastAsia" w:ascii="宋体" w:hAnsi="宋体" w:eastAsia="宋体" w:cs="宋体"/>
                <w:b/>
                <w:bCs/>
                <w:i w:val="0"/>
                <w:iCs w:val="0"/>
                <w:color w:val="auto"/>
                <w:kern w:val="0"/>
                <w:sz w:val="24"/>
                <w:szCs w:val="24"/>
                <w:u w:val="single"/>
                <w:lang w:val="en-US" w:eastAsia="zh-CN" w:bidi="ar"/>
              </w:rPr>
              <w:t>97</w:t>
            </w:r>
            <w:r>
              <w:rPr>
                <w:rFonts w:hint="eastAsia" w:ascii="宋体" w:hAnsi="宋体" w:eastAsia="宋体" w:cs="宋体"/>
                <w:i w:val="0"/>
                <w:iCs w:val="0"/>
                <w:color w:val="auto"/>
                <w:kern w:val="0"/>
                <w:sz w:val="24"/>
                <w:szCs w:val="24"/>
                <w:u w:val="single"/>
                <w:lang w:val="en-US" w:eastAsia="zh-CN" w:bidi="ar"/>
              </w:rPr>
              <w:t xml:space="preserve"> </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3.完工结算和支付</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  乙方供应完材料后，甲乙双方按本合同约定的单价和甲乙双方确认的实际材料数量进行最终结算，并签订结算协议。在甲方收到业主相应工程款的前提下，双方结算协议签订通过之日起的</w:t>
            </w:r>
            <w:r>
              <w:rPr>
                <w:rFonts w:hint="eastAsia" w:ascii="宋体" w:hAnsi="宋体" w:eastAsia="宋体" w:cs="宋体"/>
                <w:i w:val="0"/>
                <w:iCs w:val="0"/>
                <w:color w:val="auto"/>
                <w:kern w:val="0"/>
                <w:sz w:val="24"/>
                <w:szCs w:val="24"/>
                <w:u w:val="single"/>
                <w:lang w:val="en-US" w:eastAsia="zh-CN" w:bidi="ar"/>
              </w:rPr>
              <w:t xml:space="preserve">  28  </w:t>
            </w:r>
            <w:r>
              <w:rPr>
                <w:rFonts w:hint="eastAsia" w:ascii="宋体" w:hAnsi="宋体" w:eastAsia="宋体" w:cs="宋体"/>
                <w:i w:val="0"/>
                <w:iCs w:val="0"/>
                <w:color w:val="auto"/>
                <w:kern w:val="0"/>
                <w:sz w:val="24"/>
                <w:szCs w:val="24"/>
                <w:u w:val="none"/>
                <w:lang w:val="en-US" w:eastAsia="zh-CN" w:bidi="ar"/>
              </w:rPr>
              <w:t>天内，甲方向乙方支付除应扣款以外的剩余应付款项。</w:t>
            </w:r>
          </w:p>
        </w:tc>
      </w:tr>
    </w:tbl>
    <w:p w14:paraId="1EF7096C">
      <w:pPr>
        <w:framePr w:wrap="auto" w:vAnchor="margin" w:hAnchor="text" w:yAlign="inline"/>
        <w:rPr>
          <w:rFonts w:hint="eastAsia" w:ascii="宋体" w:hAnsi="宋体" w:eastAsia="宋体" w:cs="宋体"/>
          <w:color w:val="auto"/>
          <w:sz w:val="20"/>
          <w:szCs w:val="20"/>
          <w:highlight w:val="none"/>
          <w:lang w:eastAsia="zh-CN"/>
        </w:rPr>
      </w:pP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2019"/>
      <w:bookmarkStart w:id="18" w:name="_Toc6698"/>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30DB63C0">
      <w:pPr>
        <w:pStyle w:val="3"/>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28034"/>
      <w:bookmarkStart w:id="20" w:name="_Toc25557"/>
      <w:r>
        <w:rPr>
          <w:rFonts w:hint="eastAsia" w:ascii="宋体" w:hAnsi="宋体" w:eastAsia="宋体" w:cs="宋体"/>
          <w:b/>
          <w:bCs/>
          <w:color w:val="auto"/>
          <w:sz w:val="32"/>
          <w:szCs w:val="32"/>
          <w:highlight w:val="none"/>
          <w:lang w:val="en-US" w:eastAsia="zh-CN"/>
        </w:rPr>
        <w:t>第五部分  合同主要条款</w:t>
      </w:r>
      <w:bookmarkEnd w:id="19"/>
      <w:bookmarkEnd w:id="20"/>
    </w:p>
    <w:p w14:paraId="7AF4F2B3">
      <w:pPr>
        <w:framePr w:wrap="auto" w:vAnchor="margin" w:hAnchor="text" w:yAlign="inline"/>
        <w:widowControl w:val="0"/>
        <w:jc w:val="both"/>
        <w:rPr>
          <w:rFonts w:hint="eastAsia" w:ascii="宋体" w:hAnsi="宋体" w:eastAsia="宋体" w:cs="宋体"/>
          <w:color w:val="auto"/>
          <w:kern w:val="21"/>
          <w:sz w:val="36"/>
          <w:highlight w:val="none"/>
          <w:lang w:eastAsia="zh-CN"/>
        </w:rPr>
      </w:pPr>
      <w:bookmarkStart w:id="21" w:name="_Toc16641"/>
    </w:p>
    <w:p w14:paraId="4A4B8216">
      <w:pPr>
        <w:framePr w:wrap="auto" w:vAnchor="margin" w:hAnchor="text" w:yAlign="inline"/>
        <w:widowControl w:val="0"/>
        <w:jc w:val="center"/>
        <w:rPr>
          <w:rFonts w:hint="eastAsia" w:ascii="仿宋" w:hAnsi="仿宋" w:eastAsia="仿宋" w:cs="Times New Roman"/>
          <w:b/>
          <w:color w:val="auto"/>
          <w:kern w:val="2"/>
          <w:sz w:val="36"/>
          <w:szCs w:val="36"/>
          <w:highlight w:val="none"/>
          <w:lang w:eastAsia="zh-CN"/>
        </w:rPr>
      </w:pPr>
      <w:r>
        <w:rPr>
          <w:rFonts w:hint="eastAsia" w:ascii="仿宋" w:hAnsi="仿宋" w:eastAsia="仿宋" w:cs="Times New Roman"/>
          <w:b/>
          <w:color w:val="auto"/>
          <w:kern w:val="2"/>
          <w:sz w:val="36"/>
          <w:szCs w:val="36"/>
          <w:highlight w:val="none"/>
          <w:lang w:eastAsia="zh-CN"/>
        </w:rPr>
        <w:t>砼预应力管桩采购合同</w:t>
      </w:r>
    </w:p>
    <w:p w14:paraId="32DAB6FB">
      <w:pPr>
        <w:framePr w:wrap="auto" w:vAnchor="margin" w:hAnchor="text" w:yAlign="inline"/>
        <w:widowControl w:val="0"/>
        <w:ind w:firstLine="2168" w:firstLineChars="600"/>
        <w:jc w:val="both"/>
        <w:rPr>
          <w:rFonts w:ascii="仿宋" w:hAnsi="仿宋" w:eastAsia="仿宋" w:cs="Times New Roman"/>
          <w:b/>
          <w:color w:val="auto"/>
          <w:kern w:val="2"/>
          <w:sz w:val="36"/>
          <w:szCs w:val="36"/>
          <w:highlight w:val="none"/>
          <w:lang w:eastAsia="zh-CN"/>
        </w:rPr>
      </w:pPr>
    </w:p>
    <w:p w14:paraId="3FAA985E">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p>
    <w:p w14:paraId="1BF3984C">
      <w:pPr>
        <w:framePr w:wrap="auto" w:vAnchor="margin" w:hAnchor="text" w:yAlign="inline"/>
        <w:widowControl w:val="0"/>
        <w:jc w:val="center"/>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lang w:eastAsia="zh-CN"/>
        </w:rPr>
        <w:t>（注:本合同书仅为合同的供参考文本，合同签订双方可根据项目的具体要求进行修订)</w:t>
      </w:r>
    </w:p>
    <w:p w14:paraId="76E6B5AA">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p>
    <w:p w14:paraId="46AF9564">
      <w:pPr>
        <w:framePr w:wrap="auto" w:vAnchor="margin" w:hAnchor="text" w:yAlign="inline"/>
        <w:widowControl w:val="0"/>
        <w:spacing w:line="360" w:lineRule="auto"/>
        <w:ind w:left="0" w:leftChars="0" w:right="-89" w:firstLine="4840" w:firstLineChars="0"/>
        <w:jc w:val="center"/>
        <w:rPr>
          <w:rFonts w:hint="default" w:ascii="仿宋" w:eastAsia="仿宋"/>
          <w:color w:val="auto"/>
          <w:kern w:val="0"/>
          <w:highlight w:val="none"/>
          <w:lang w:val="en-US" w:eastAsia="zh-CN"/>
        </w:rPr>
      </w:pPr>
      <w:r>
        <w:rPr>
          <w:rFonts w:hint="eastAsia" w:ascii="仿宋" w:hAnsi="仿宋" w:eastAsia="仿宋"/>
          <w:color w:val="auto"/>
          <w:kern w:val="2"/>
          <w:sz w:val="24"/>
          <w:highlight w:val="none"/>
          <w:lang w:val="en-US" w:eastAsia="zh-CN"/>
        </w:rPr>
        <w:t xml:space="preserve"> </w:t>
      </w:r>
      <w:r>
        <w:rPr>
          <w:rFonts w:hint="eastAsia" w:ascii="仿宋" w:eastAsia="仿宋"/>
          <w:color w:val="auto"/>
          <w:kern w:val="0"/>
          <w:highlight w:val="none"/>
          <w:lang w:val="en-US" w:eastAsia="zh-CN"/>
        </w:rPr>
        <w:t>甲方</w:t>
      </w:r>
      <w:r>
        <w:rPr>
          <w:rFonts w:hint="eastAsia" w:ascii="仿宋" w:eastAsia="仿宋"/>
          <w:color w:val="auto"/>
          <w:kern w:val="0"/>
          <w:highlight w:val="none"/>
          <w:lang w:eastAsia="zh-CN"/>
        </w:rPr>
        <w:t>合同编号：</w:t>
      </w:r>
      <w:r>
        <w:rPr>
          <w:rFonts w:hint="eastAsia" w:ascii="仿宋" w:eastAsia="仿宋"/>
          <w:color w:val="auto"/>
          <w:kern w:val="0"/>
          <w:highlight w:val="none"/>
          <w:lang w:val="en-US" w:eastAsia="zh-CN"/>
        </w:rPr>
        <w:t xml:space="preserve"> </w:t>
      </w:r>
    </w:p>
    <w:p w14:paraId="1868874C">
      <w:pPr>
        <w:framePr w:wrap="auto" w:vAnchor="margin" w:hAnchor="text" w:yAlign="inline"/>
        <w:widowControl w:val="0"/>
        <w:ind w:left="0" w:leftChars="0" w:firstLine="5760" w:firstLineChars="2400"/>
        <w:jc w:val="both"/>
        <w:rPr>
          <w:rFonts w:hint="eastAsia" w:ascii="仿宋" w:hAnsi="Times New Roman" w:eastAsia="仿宋" w:cs="Times New Roman"/>
          <w:color w:val="auto"/>
          <w:kern w:val="0"/>
          <w:sz w:val="24"/>
          <w:szCs w:val="24"/>
          <w:highlight w:val="none"/>
          <w:lang w:val="en-US" w:eastAsia="zh-CN" w:bidi="ar-SA"/>
        </w:rPr>
      </w:pPr>
      <w:r>
        <w:rPr>
          <w:rFonts w:hint="eastAsia" w:ascii="仿宋" w:hAnsi="Times New Roman" w:eastAsia="仿宋" w:cs="Times New Roman"/>
          <w:color w:val="auto"/>
          <w:kern w:val="0"/>
          <w:sz w:val="24"/>
          <w:szCs w:val="24"/>
          <w:highlight w:val="none"/>
          <w:lang w:val="en-US" w:eastAsia="zh-CN" w:bidi="ar-SA"/>
        </w:rPr>
        <w:t>乙方合同编号：</w:t>
      </w:r>
      <w:r>
        <w:rPr>
          <w:rFonts w:hint="eastAsia" w:ascii="仿宋" w:eastAsia="仿宋" w:cs="Times New Roman"/>
          <w:color w:val="auto"/>
          <w:kern w:val="0"/>
          <w:sz w:val="24"/>
          <w:szCs w:val="24"/>
          <w:highlight w:val="none"/>
          <w:lang w:val="en-US" w:eastAsia="zh-CN" w:bidi="ar-SA"/>
        </w:rPr>
        <w:t xml:space="preserve"> </w:t>
      </w:r>
    </w:p>
    <w:p w14:paraId="7DBB1A09">
      <w:pPr>
        <w:widowControl w:val="0"/>
        <w:spacing w:line="360" w:lineRule="auto"/>
        <w:ind w:firstLine="480" w:firstLineChars="200"/>
        <w:jc w:val="both"/>
        <w:rPr>
          <w:rFonts w:hint="eastAsia" w:ascii="仿宋" w:hAnsi="Times New Roman" w:eastAsia="仿宋" w:cs="Times New Roman"/>
          <w:color w:val="auto"/>
          <w:kern w:val="0"/>
          <w:sz w:val="24"/>
          <w:szCs w:val="24"/>
          <w:highlight w:val="none"/>
          <w:lang w:val="zh-CN" w:eastAsia="zh-CN" w:bidi="ar-SA"/>
        </w:rPr>
      </w:pPr>
      <w:r>
        <w:rPr>
          <w:rFonts w:hint="eastAsia" w:ascii="仿宋" w:hAnsi="Times New Roman" w:eastAsia="仿宋" w:cs="Times New Roman"/>
          <w:color w:val="auto"/>
          <w:kern w:val="0"/>
          <w:sz w:val="24"/>
          <w:szCs w:val="24"/>
          <w:highlight w:val="none"/>
          <w:u w:val="single"/>
          <w:lang w:val="en-US" w:eastAsia="zh-CN" w:bidi="ar-SA"/>
        </w:rPr>
        <w:t xml:space="preserve">   </w:t>
      </w:r>
    </w:p>
    <w:p w14:paraId="4E86CFB6">
      <w:pPr>
        <w:framePr w:wrap="auto" w:vAnchor="margin" w:hAnchor="text" w:yAlign="inline"/>
        <w:widowControl w:val="0"/>
        <w:autoSpaceDE w:val="0"/>
        <w:autoSpaceDN w:val="0"/>
        <w:spacing w:line="360" w:lineRule="auto"/>
        <w:ind w:left="480" w:leftChars="200" w:firstLine="0" w:firstLineChars="0"/>
        <w:jc w:val="both"/>
        <w:rPr>
          <w:rFonts w:hint="eastAsia" w:ascii="仿宋" w:eastAsia="仿宋"/>
          <w:color w:val="auto"/>
          <w:kern w:val="2"/>
          <w:sz w:val="24"/>
          <w:szCs w:val="24"/>
          <w:highlight w:val="none"/>
          <w:lang w:eastAsia="zh-CN"/>
        </w:rPr>
      </w:pPr>
      <w:r>
        <w:rPr>
          <w:rFonts w:hint="eastAsia" w:ascii="仿宋" w:hAnsi="Times New Roman" w:eastAsia="仿宋" w:cs="Times New Roman"/>
          <w:color w:val="auto"/>
          <w:kern w:val="0"/>
          <w:sz w:val="24"/>
          <w:szCs w:val="24"/>
          <w:highlight w:val="none"/>
          <w:lang w:val="zh-CN" w:eastAsia="zh-CN" w:bidi="ar-SA"/>
        </w:rPr>
        <w:t>甲方</w:t>
      </w:r>
      <w:r>
        <w:rPr>
          <w:rFonts w:hint="eastAsia" w:ascii="仿宋" w:hAnsi="Times New Roman" w:eastAsia="仿宋" w:cs="Times New Roman"/>
          <w:color w:val="auto"/>
          <w:kern w:val="0"/>
          <w:sz w:val="24"/>
          <w:szCs w:val="24"/>
          <w:highlight w:val="none"/>
          <w:lang w:val="en-US" w:eastAsia="zh-CN" w:bidi="ar-SA"/>
        </w:rPr>
        <w:t>（买方）：</w:t>
      </w:r>
      <w:r>
        <w:rPr>
          <w:rFonts w:hint="eastAsia" w:ascii="仿宋" w:eastAsia="仿宋" w:cs="Times New Roman"/>
          <w:color w:val="auto"/>
          <w:kern w:val="0"/>
          <w:sz w:val="24"/>
          <w:szCs w:val="24"/>
          <w:highlight w:val="none"/>
          <w:u w:val="single"/>
          <w:lang w:val="en-US" w:eastAsia="zh-CN" w:bidi="ar-SA"/>
        </w:rPr>
        <w:t xml:space="preserve">        </w:t>
      </w:r>
      <w:r>
        <w:rPr>
          <w:rFonts w:hint="eastAsia" w:ascii="仿宋" w:hAnsi="Times New Roman" w:eastAsia="仿宋" w:cs="Times New Roman"/>
          <w:color w:val="auto"/>
          <w:kern w:val="0"/>
          <w:sz w:val="24"/>
          <w:szCs w:val="24"/>
          <w:highlight w:val="none"/>
          <w:lang w:val="en-US" w:eastAsia="zh-CN" w:bidi="ar-SA"/>
        </w:rPr>
        <w:br w:type="textWrapping"/>
      </w:r>
      <w:r>
        <w:rPr>
          <w:rFonts w:hint="eastAsia" w:ascii="仿宋" w:eastAsia="仿宋"/>
          <w:color w:val="auto"/>
          <w:kern w:val="2"/>
          <w:sz w:val="24"/>
          <w:szCs w:val="24"/>
          <w:highlight w:val="none"/>
          <w:lang w:val="zh-CN" w:eastAsia="zh-CN"/>
        </w:rPr>
        <w:t>乙方（卖方）：</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 xml:space="preserve">  </w:t>
      </w:r>
    </w:p>
    <w:p w14:paraId="5819866D">
      <w:pPr>
        <w:framePr w:wrap="auto" w:vAnchor="margin" w:hAnchor="text" w:yAlign="inline"/>
        <w:widowControl w:val="0"/>
        <w:tabs>
          <w:tab w:val="left" w:pos="1260"/>
        </w:tabs>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ascii="仿宋" w:eastAsia="仿宋"/>
          <w:color w:val="auto"/>
          <w:kern w:val="2"/>
          <w:sz w:val="24"/>
          <w:szCs w:val="24"/>
          <w:highlight w:val="none"/>
          <w:lang w:val="zh-CN" w:eastAsia="zh-CN"/>
        </w:rPr>
        <w:t>工程地址：广东省惠州市惠东县稔山镇</w:t>
      </w:r>
    </w:p>
    <w:p w14:paraId="2F1A71B7">
      <w:pPr>
        <w:framePr w:wrap="auto" w:vAnchor="margin" w:hAnchor="text" w:yAlign="inline"/>
        <w:widowControl w:val="0"/>
        <w:tabs>
          <w:tab w:val="left" w:pos="1260"/>
        </w:tabs>
        <w:autoSpaceDE w:val="0"/>
        <w:autoSpaceDN w:val="0"/>
        <w:spacing w:line="360" w:lineRule="auto"/>
        <w:ind w:left="274" w:leftChars="114" w:firstLine="240" w:firstLineChars="1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为保证甲方</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（下称“</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的平稳供应，满足甲方</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none"/>
          <w:lang w:val="zh-CN" w:eastAsia="zh-CN"/>
        </w:rPr>
        <w:t>项目</w:t>
      </w:r>
      <w:r>
        <w:rPr>
          <w:rFonts w:hint="eastAsia" w:ascii="仿宋" w:eastAsia="仿宋"/>
          <w:color w:val="auto"/>
          <w:kern w:val="2"/>
          <w:sz w:val="24"/>
          <w:szCs w:val="24"/>
          <w:highlight w:val="none"/>
          <w:lang w:eastAsia="zh-CN"/>
        </w:rPr>
        <w:t>的</w:t>
      </w:r>
      <w:r>
        <w:rPr>
          <w:rFonts w:hint="eastAsia" w:ascii="仿宋" w:eastAsia="仿宋"/>
          <w:color w:val="auto"/>
          <w:kern w:val="2"/>
          <w:sz w:val="24"/>
          <w:szCs w:val="24"/>
          <w:highlight w:val="none"/>
          <w:lang w:val="zh-CN" w:eastAsia="zh-CN"/>
        </w:rPr>
        <w:t>施工要求，甲乙双方拟就</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lang w:val="zh-CN" w:eastAsia="zh-CN"/>
        </w:rPr>
        <w:t>项目</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的需求与供应进行合作。经双方友好协商一致，特订立本合同，以资共同遵守：</w:t>
      </w:r>
    </w:p>
    <w:p w14:paraId="7CC3DF3B">
      <w:pPr>
        <w:framePr w:wrap="auto" w:vAnchor="margin" w:hAnchor="text" w:yAlign="inline"/>
        <w:widowControl w:val="0"/>
        <w:tabs>
          <w:tab w:val="left" w:pos="1260"/>
        </w:tabs>
        <w:autoSpaceDE w:val="0"/>
        <w:autoSpaceDN w:val="0"/>
        <w:spacing w:line="360" w:lineRule="auto"/>
        <w:ind w:firstLine="482" w:firstLineChars="200"/>
        <w:jc w:val="both"/>
        <w:rPr>
          <w:rFonts w:hint="eastAsia" w:ascii="仿宋" w:eastAsia="仿宋"/>
          <w:b/>
          <w:color w:val="auto"/>
          <w:kern w:val="2"/>
          <w:sz w:val="24"/>
          <w:szCs w:val="24"/>
          <w:highlight w:val="none"/>
          <w:lang w:val="zh-CN" w:eastAsia="zh-CN"/>
        </w:rPr>
      </w:pPr>
      <w:r>
        <w:rPr>
          <w:rFonts w:hint="eastAsia" w:ascii="仿宋" w:eastAsia="仿宋"/>
          <w:b/>
          <w:color w:val="auto"/>
          <w:kern w:val="2"/>
          <w:sz w:val="24"/>
          <w:szCs w:val="24"/>
          <w:highlight w:val="none"/>
          <w:lang w:val="zh-CN" w:eastAsia="zh-CN"/>
        </w:rPr>
        <w:t>一、合同标的：</w:t>
      </w:r>
    </w:p>
    <w:p w14:paraId="383EB3AA">
      <w:pPr>
        <w:framePr w:wrap="auto" w:vAnchor="margin" w:hAnchor="text" w:yAlign="inline"/>
        <w:widowControl w:val="0"/>
        <w:tabs>
          <w:tab w:val="left" w:pos="1260"/>
        </w:tabs>
        <w:autoSpaceDE w:val="0"/>
        <w:autoSpaceDN w:val="0"/>
        <w:spacing w:line="360" w:lineRule="auto"/>
        <w:ind w:firstLine="480" w:firstLineChars="200"/>
        <w:jc w:val="both"/>
        <w:rPr>
          <w:rFonts w:hint="eastAsia" w:ascii="仿宋" w:eastAsia="仿宋"/>
          <w:b w:val="0"/>
          <w:bCs/>
          <w:color w:val="auto"/>
          <w:kern w:val="2"/>
          <w:sz w:val="24"/>
          <w:szCs w:val="24"/>
          <w:highlight w:val="none"/>
          <w:u w:val="none"/>
          <w:lang w:val="zh-CN" w:eastAsia="zh-CN"/>
        </w:rPr>
      </w:pPr>
      <w:r>
        <w:rPr>
          <w:rFonts w:hint="eastAsia" w:ascii="仿宋" w:eastAsia="仿宋"/>
          <w:b w:val="0"/>
          <w:bCs/>
          <w:color w:val="auto"/>
          <w:kern w:val="2"/>
          <w:sz w:val="24"/>
          <w:szCs w:val="24"/>
          <w:highlight w:val="none"/>
          <w:u w:val="none"/>
          <w:lang w:val="zh-CN" w:eastAsia="zh-CN"/>
        </w:rPr>
        <w:t>（详见：项目需求情况）。</w:t>
      </w:r>
    </w:p>
    <w:p w14:paraId="2C8F4271">
      <w:pPr>
        <w:framePr w:wrap="auto" w:vAnchor="margin" w:hAnchor="text" w:yAlign="inline"/>
        <w:widowControl w:val="0"/>
        <w:tabs>
          <w:tab w:val="left" w:pos="1260"/>
        </w:tabs>
        <w:autoSpaceDE w:val="0"/>
        <w:autoSpaceDN w:val="0"/>
        <w:spacing w:line="360" w:lineRule="auto"/>
        <w:ind w:firstLine="482" w:firstLineChars="200"/>
        <w:jc w:val="both"/>
        <w:rPr>
          <w:rFonts w:hint="eastAsia" w:ascii="仿宋" w:eastAsia="仿宋"/>
          <w:b/>
          <w:color w:val="auto"/>
          <w:kern w:val="2"/>
          <w:sz w:val="24"/>
          <w:szCs w:val="24"/>
          <w:highlight w:val="none"/>
          <w:lang w:val="zh-CN" w:eastAsia="zh-CN"/>
        </w:rPr>
      </w:pPr>
      <w:r>
        <w:rPr>
          <w:rFonts w:hint="eastAsia" w:ascii="仿宋" w:eastAsia="仿宋"/>
          <w:b/>
          <w:color w:val="auto"/>
          <w:kern w:val="2"/>
          <w:sz w:val="24"/>
          <w:szCs w:val="24"/>
          <w:highlight w:val="none"/>
          <w:lang w:val="zh-CN" w:eastAsia="zh-CN"/>
        </w:rPr>
        <w:t>二、</w:t>
      </w:r>
      <w:r>
        <w:rPr>
          <w:rFonts w:hint="eastAsia" w:ascii="仿宋" w:eastAsia="仿宋"/>
          <w:b/>
          <w:color w:val="auto"/>
          <w:kern w:val="2"/>
          <w:sz w:val="24"/>
          <w:szCs w:val="24"/>
          <w:highlight w:val="none"/>
          <w:lang w:val="en-US" w:eastAsia="zh-CN"/>
        </w:rPr>
        <w:t>砼预应力管桩</w:t>
      </w:r>
      <w:r>
        <w:rPr>
          <w:rFonts w:hint="eastAsia" w:ascii="仿宋" w:eastAsia="仿宋"/>
          <w:b/>
          <w:color w:val="auto"/>
          <w:kern w:val="2"/>
          <w:sz w:val="24"/>
          <w:szCs w:val="24"/>
          <w:highlight w:val="none"/>
          <w:lang w:val="zh-CN" w:eastAsia="zh-CN"/>
        </w:rPr>
        <w:t>的技术要求：</w:t>
      </w:r>
    </w:p>
    <w:p w14:paraId="248BC43E">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val="zh-CN"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质量检查和工程验收均按照《建筑桩基础技术规范》(JGJ94-2008)、《建筑与市政地基基础通用规范》GB 55003-2021)和《建筑基桩检测技术规范》(JGJ106-2014)等规</w:t>
      </w:r>
      <w:r>
        <w:rPr>
          <w:rFonts w:hint="eastAsia" w:ascii="仿宋" w:eastAsia="仿宋"/>
          <w:color w:val="auto"/>
          <w:kern w:val="2"/>
          <w:sz w:val="24"/>
          <w:szCs w:val="24"/>
          <w:highlight w:val="none"/>
          <w:lang w:val="en-US" w:eastAsia="zh-CN"/>
        </w:rPr>
        <w:t>范</w:t>
      </w:r>
      <w:r>
        <w:rPr>
          <w:rFonts w:hint="eastAsia" w:ascii="仿宋" w:eastAsia="仿宋"/>
          <w:color w:val="auto"/>
          <w:kern w:val="2"/>
          <w:sz w:val="24"/>
          <w:szCs w:val="24"/>
          <w:highlight w:val="none"/>
          <w:lang w:val="zh-CN" w:eastAsia="zh-CN"/>
        </w:rPr>
        <w:t>中的有关</w:t>
      </w:r>
      <w:r>
        <w:rPr>
          <w:rFonts w:hint="eastAsia" w:ascii="仿宋" w:eastAsia="仿宋"/>
          <w:color w:val="auto"/>
          <w:kern w:val="2"/>
          <w:sz w:val="24"/>
          <w:szCs w:val="24"/>
          <w:highlight w:val="none"/>
          <w:lang w:val="en-US" w:eastAsia="zh-CN"/>
        </w:rPr>
        <w:t>规定</w:t>
      </w:r>
      <w:r>
        <w:rPr>
          <w:rFonts w:hint="eastAsia" w:ascii="仿宋" w:eastAsia="仿宋"/>
          <w:color w:val="auto"/>
          <w:kern w:val="2"/>
          <w:sz w:val="24"/>
          <w:szCs w:val="24"/>
          <w:highlight w:val="none"/>
          <w:lang w:val="zh-CN" w:eastAsia="zh-CN"/>
        </w:rPr>
        <w:t>进行。</w:t>
      </w:r>
    </w:p>
    <w:p w14:paraId="142E27C4">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满足项目的设计、施工规范要求。</w:t>
      </w:r>
    </w:p>
    <w:p w14:paraId="130B6EF6">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bCs/>
          <w:color w:val="auto"/>
          <w:kern w:val="2"/>
          <w:sz w:val="24"/>
          <w:szCs w:val="24"/>
          <w:highlight w:val="none"/>
          <w:lang w:val="en-US" w:eastAsia="zh-CN"/>
        </w:rPr>
        <w:t>3.</w:t>
      </w:r>
      <w:r>
        <w:rPr>
          <w:rFonts w:hint="eastAsia" w:ascii="仿宋" w:eastAsia="仿宋"/>
          <w:bCs/>
          <w:color w:val="auto"/>
          <w:kern w:val="2"/>
          <w:sz w:val="24"/>
          <w:szCs w:val="24"/>
          <w:highlight w:val="none"/>
          <w:lang w:eastAsia="zh-CN"/>
        </w:rPr>
        <w:t>说明：</w:t>
      </w:r>
      <w:r>
        <w:rPr>
          <w:rFonts w:hint="eastAsia" w:ascii="仿宋" w:eastAsia="仿宋"/>
          <w:bCs/>
          <w:color w:val="auto"/>
          <w:kern w:val="2"/>
          <w:sz w:val="24"/>
          <w:szCs w:val="24"/>
          <w:highlight w:val="none"/>
          <w:lang w:val="en-US" w:eastAsia="zh-CN"/>
        </w:rPr>
        <w:t>砼预应力管桩的各项指标</w:t>
      </w:r>
      <w:r>
        <w:rPr>
          <w:rFonts w:hint="eastAsia" w:ascii="仿宋" w:eastAsia="仿宋"/>
          <w:bCs/>
          <w:color w:val="auto"/>
          <w:kern w:val="2"/>
          <w:sz w:val="24"/>
          <w:szCs w:val="24"/>
          <w:highlight w:val="none"/>
          <w:lang w:eastAsia="zh-CN"/>
        </w:rPr>
        <w:t>满足</w:t>
      </w:r>
      <w:r>
        <w:rPr>
          <w:rFonts w:hint="eastAsia" w:ascii="仿宋" w:eastAsia="仿宋"/>
          <w:bCs/>
          <w:color w:val="auto"/>
          <w:kern w:val="2"/>
          <w:sz w:val="24"/>
          <w:szCs w:val="24"/>
          <w:highlight w:val="none"/>
          <w:u w:val="single"/>
          <w:lang w:eastAsia="zh-CN"/>
        </w:rPr>
        <w:t xml:space="preserve"> </w:t>
      </w:r>
      <w:r>
        <w:rPr>
          <w:rFonts w:hint="eastAsia" w:ascii="仿宋" w:eastAsia="仿宋"/>
          <w:bCs/>
          <w:color w:val="auto"/>
          <w:kern w:val="2"/>
          <w:sz w:val="24"/>
          <w:szCs w:val="24"/>
          <w:highlight w:val="none"/>
          <w:u w:val="single"/>
          <w:lang w:val="en-US" w:eastAsia="zh-CN"/>
        </w:rPr>
        <w:t xml:space="preserve">  </w:t>
      </w:r>
      <w:r>
        <w:rPr>
          <w:rFonts w:hint="eastAsia" w:ascii="仿宋" w:eastAsia="仿宋"/>
          <w:bCs/>
          <w:color w:val="auto"/>
          <w:kern w:val="2"/>
          <w:sz w:val="24"/>
          <w:szCs w:val="24"/>
          <w:highlight w:val="none"/>
          <w:u w:val="single"/>
          <w:lang w:eastAsia="zh-CN"/>
        </w:rPr>
        <w:t xml:space="preserve"> </w:t>
      </w:r>
      <w:r>
        <w:rPr>
          <w:rFonts w:hint="eastAsia" w:ascii="仿宋" w:eastAsia="仿宋"/>
          <w:color w:val="auto"/>
          <w:kern w:val="2"/>
          <w:sz w:val="24"/>
          <w:szCs w:val="24"/>
          <w:highlight w:val="none"/>
          <w:lang w:eastAsia="zh-CN"/>
        </w:rPr>
        <w:t>项目的施工要求，具体以项目的设计图纸要求为准。</w:t>
      </w:r>
    </w:p>
    <w:p w14:paraId="130E7384">
      <w:pPr>
        <w:framePr w:wrap="auto" w:vAnchor="margin" w:hAnchor="text" w:yAlign="inline"/>
        <w:widowControl w:val="0"/>
        <w:tabs>
          <w:tab w:val="left" w:pos="1260"/>
        </w:tabs>
        <w:autoSpaceDE w:val="0"/>
        <w:autoSpaceDN w:val="0"/>
        <w:spacing w:line="240" w:lineRule="auto"/>
        <w:ind w:firstLine="482" w:firstLineChars="200"/>
        <w:jc w:val="both"/>
        <w:rPr>
          <w:rFonts w:hint="eastAsia" w:ascii="仿宋" w:eastAsia="仿宋"/>
          <w:color w:val="auto"/>
          <w:kern w:val="2"/>
          <w:sz w:val="24"/>
          <w:szCs w:val="24"/>
          <w:highlight w:val="yellow"/>
          <w:lang w:val="zh-CN" w:eastAsia="zh-CN"/>
        </w:rPr>
      </w:pPr>
      <w:r>
        <w:rPr>
          <w:rFonts w:hint="eastAsia" w:ascii="仿宋" w:eastAsia="仿宋"/>
          <w:b/>
          <w:color w:val="auto"/>
          <w:kern w:val="2"/>
          <w:sz w:val="24"/>
          <w:szCs w:val="24"/>
          <w:highlight w:val="none"/>
          <w:lang w:val="zh-CN" w:eastAsia="zh-CN"/>
        </w:rPr>
        <w:t>三、本项目需求情况：</w:t>
      </w:r>
    </w:p>
    <w:tbl>
      <w:tblPr>
        <w:tblStyle w:val="18"/>
        <w:tblW w:w="9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0"/>
        <w:gridCol w:w="1456"/>
        <w:gridCol w:w="1904"/>
        <w:gridCol w:w="630"/>
        <w:gridCol w:w="744"/>
        <w:gridCol w:w="1031"/>
        <w:gridCol w:w="1321"/>
        <w:gridCol w:w="1509"/>
      </w:tblGrid>
      <w:tr w14:paraId="668C0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B9301">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序号</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ADFC1">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材料名称</w:t>
            </w:r>
          </w:p>
        </w:tc>
        <w:tc>
          <w:tcPr>
            <w:tcW w:w="19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EED49A">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规格参数</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DB934">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单位</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9C417">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数量</w:t>
            </w:r>
          </w:p>
        </w:tc>
        <w:tc>
          <w:tcPr>
            <w:tcW w:w="1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2EF88">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含税单价（元）</w:t>
            </w:r>
          </w:p>
        </w:tc>
        <w:tc>
          <w:tcPr>
            <w:tcW w:w="13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8FBD2">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含税金额（元）</w:t>
            </w:r>
          </w:p>
        </w:tc>
        <w:tc>
          <w:tcPr>
            <w:tcW w:w="1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778A0">
            <w:pPr>
              <w:keepNext w:val="0"/>
              <w:keepLines w:val="0"/>
              <w:framePr w:wrap="auto" w:vAnchor="margin" w:hAnchor="text" w:yAlign="inline"/>
              <w:widowControl/>
              <w:suppressLineNumbers w:val="0"/>
              <w:jc w:val="center"/>
              <w:textAlignment w:val="center"/>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0"/>
                <w:sz w:val="24"/>
                <w:szCs w:val="24"/>
                <w:highlight w:val="none"/>
                <w:u w:val="none"/>
                <w:lang w:val="en-US" w:eastAsia="zh-CN"/>
              </w:rPr>
              <w:t>备注</w:t>
            </w:r>
          </w:p>
        </w:tc>
      </w:tr>
      <w:tr w14:paraId="58E9B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6" w:hRule="atLeast"/>
        </w:trPr>
        <w:tc>
          <w:tcPr>
            <w:tcW w:w="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ADE2E">
            <w:pPr>
              <w:keepNext w:val="0"/>
              <w:keepLines w:val="0"/>
              <w:framePr w:wrap="auto" w:vAnchor="margin" w:hAnchor="text" w:yAlign="inline"/>
              <w:widowControl/>
              <w:suppressLineNumbers w:val="0"/>
              <w:jc w:val="center"/>
              <w:textAlignment w:val="bottom"/>
              <w:rPr>
                <w:rFonts w:hint="eastAsia" w:ascii="仿宋" w:eastAsia="仿宋" w:cs="仿宋"/>
                <w:i w:val="0"/>
                <w:color w:val="auto"/>
                <w:kern w:val="2"/>
                <w:sz w:val="24"/>
                <w:szCs w:val="24"/>
                <w:highlight w:val="none"/>
                <w:u w:val="none"/>
                <w:lang w:val="en-US" w:eastAsia="zh-CN"/>
              </w:rPr>
            </w:pPr>
            <w:r>
              <w:rPr>
                <w:rFonts w:hint="eastAsia" w:ascii="仿宋" w:eastAsia="仿宋" w:cs="仿宋"/>
                <w:i w:val="0"/>
                <w:color w:val="auto"/>
                <w:kern w:val="2"/>
                <w:sz w:val="24"/>
                <w:szCs w:val="24"/>
                <w:highlight w:val="none"/>
                <w:u w:val="none"/>
                <w:lang w:val="en-US" w:eastAsia="zh-CN"/>
              </w:rPr>
              <w:t>1</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E132F">
            <w:pPr>
              <w:keepNext w:val="0"/>
              <w:keepLines w:val="0"/>
              <w:framePr w:wrap="auto" w:vAnchor="margin" w:hAnchor="text" w:yAlign="inline"/>
              <w:widowControl/>
              <w:suppressLineNumbers w:val="0"/>
              <w:jc w:val="center"/>
              <w:textAlignment w:val="bottom"/>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2"/>
                <w:sz w:val="24"/>
                <w:szCs w:val="24"/>
                <w:highlight w:val="none"/>
                <w:u w:val="none"/>
                <w:lang w:eastAsia="zh-CN"/>
              </w:rPr>
              <w:t>C80砼预应力管桩</w:t>
            </w:r>
          </w:p>
        </w:tc>
        <w:tc>
          <w:tcPr>
            <w:tcW w:w="19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690E0">
            <w:pPr>
              <w:keepNext w:val="0"/>
              <w:keepLines w:val="0"/>
              <w:framePr w:wrap="auto" w:vAnchor="margin" w:hAnchor="text" w:yAlign="inline"/>
              <w:widowControl/>
              <w:suppressLineNumbers w:val="0"/>
              <w:jc w:val="center"/>
              <w:textAlignment w:val="bottom"/>
              <w:rPr>
                <w:rFonts w:hint="eastAsia" w:ascii="仿宋" w:eastAsia="仿宋" w:cs="仿宋"/>
                <w:i w:val="0"/>
                <w:color w:val="auto"/>
                <w:kern w:val="2"/>
                <w:sz w:val="24"/>
                <w:szCs w:val="24"/>
                <w:highlight w:val="none"/>
                <w:u w:val="none"/>
                <w:lang w:eastAsia="zh-CN"/>
              </w:rPr>
            </w:pPr>
            <w:r>
              <w:rPr>
                <w:rFonts w:hint="eastAsia" w:ascii="仿宋" w:eastAsia="仿宋" w:cs="仿宋"/>
                <w:i w:val="0"/>
                <w:color w:val="auto"/>
                <w:kern w:val="2"/>
                <w:sz w:val="24"/>
                <w:szCs w:val="24"/>
                <w:highlight w:val="none"/>
                <w:u w:val="none"/>
                <w:lang w:eastAsia="zh-CN"/>
              </w:rPr>
              <w:t>φ500PHC-AB-120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E0212">
            <w:pPr>
              <w:framePr w:wrap="auto" w:vAnchor="margin" w:hAnchor="text" w:yAlign="inline"/>
              <w:widowControl/>
              <w:jc w:val="center"/>
              <w:rPr>
                <w:rFonts w:hint="eastAsia" w:ascii="仿宋" w:eastAsia="仿宋" w:cs="仿宋"/>
                <w:color w:val="auto"/>
                <w:kern w:val="0"/>
                <w:sz w:val="24"/>
                <w:szCs w:val="24"/>
                <w:highlight w:val="none"/>
                <w:shd w:val="clear" w:color="auto" w:fill="auto"/>
                <w:lang w:val="en-US" w:eastAsia="zh-CN" w:bidi="ar-SA"/>
              </w:rPr>
            </w:pPr>
            <w:r>
              <w:rPr>
                <w:rFonts w:hint="eastAsia" w:ascii="仿宋" w:eastAsia="仿宋" w:cs="仿宋"/>
                <w:color w:val="auto"/>
                <w:kern w:val="0"/>
                <w:sz w:val="24"/>
                <w:szCs w:val="24"/>
                <w:highlight w:val="none"/>
                <w:shd w:val="clear" w:color="auto" w:fill="auto"/>
                <w:lang w:val="en-US" w:eastAsia="zh-CN"/>
              </w:rPr>
              <w:t>m</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082EE">
            <w:pPr>
              <w:framePr w:wrap="auto" w:vAnchor="margin" w:hAnchor="text" w:yAlign="inline"/>
              <w:widowControl/>
              <w:jc w:val="center"/>
              <w:rPr>
                <w:rFonts w:ascii="仿宋" w:eastAsia="仿宋" w:cs="仿宋"/>
                <w:color w:val="auto"/>
                <w:kern w:val="0"/>
                <w:sz w:val="24"/>
                <w:szCs w:val="24"/>
                <w:highlight w:val="none"/>
                <w:shd w:val="clear" w:color="auto" w:fill="auto"/>
                <w:lang w:val="en-US" w:eastAsia="zh-CN" w:bidi="ar-SA"/>
              </w:rPr>
            </w:pPr>
            <w:r>
              <w:rPr>
                <w:rFonts w:hint="eastAsia" w:ascii="仿宋" w:eastAsia="仿宋" w:cs="仿宋"/>
                <w:color w:val="auto"/>
                <w:kern w:val="0"/>
                <w:sz w:val="24"/>
                <w:szCs w:val="24"/>
                <w:highlight w:val="none"/>
                <w:shd w:val="clear" w:color="auto" w:fill="auto"/>
                <w:lang w:val="en-US" w:eastAsia="zh-CN"/>
              </w:rPr>
              <w:t>12460</w:t>
            </w:r>
          </w:p>
        </w:tc>
        <w:tc>
          <w:tcPr>
            <w:tcW w:w="1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3CA0B">
            <w:pPr>
              <w:framePr w:wrap="auto" w:vAnchor="margin" w:hAnchor="text" w:yAlign="inline"/>
              <w:widowControl/>
              <w:jc w:val="center"/>
              <w:rPr>
                <w:rFonts w:hint="eastAsia" w:ascii="仿宋" w:eastAsia="仿宋" w:cs="仿宋"/>
                <w:color w:val="auto"/>
                <w:kern w:val="0"/>
                <w:sz w:val="24"/>
                <w:szCs w:val="24"/>
                <w:highlight w:val="none"/>
                <w:shd w:val="clear" w:color="auto" w:fill="auto"/>
                <w:lang w:val="en-US" w:eastAsia="zh-CN" w:bidi="ar-SA"/>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08D446">
            <w:pPr>
              <w:framePr w:wrap="auto" w:vAnchor="margin" w:hAnchor="text" w:yAlign="inline"/>
              <w:widowControl/>
              <w:jc w:val="center"/>
              <w:rPr>
                <w:rFonts w:ascii="仿宋" w:eastAsia="仿宋" w:cs="仿宋"/>
                <w:color w:val="auto"/>
                <w:kern w:val="0"/>
                <w:sz w:val="24"/>
                <w:szCs w:val="24"/>
                <w:highlight w:val="none"/>
                <w:shd w:val="clear" w:color="auto" w:fill="auto"/>
                <w:lang w:val="en-US" w:eastAsia="zh-CN"/>
              </w:rPr>
            </w:pPr>
          </w:p>
        </w:tc>
        <w:tc>
          <w:tcPr>
            <w:tcW w:w="15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7B13D1">
            <w:pPr>
              <w:framePr w:wrap="auto" w:vAnchor="margin" w:hAnchor="text" w:yAlign="inline"/>
              <w:widowControl/>
              <w:jc w:val="center"/>
              <w:rPr>
                <w:rFonts w:hint="eastAsia" w:ascii="仿宋" w:eastAsia="仿宋" w:cs="仿宋"/>
                <w:color w:val="auto"/>
                <w:kern w:val="0"/>
                <w:sz w:val="24"/>
                <w:szCs w:val="24"/>
                <w:highlight w:val="none"/>
                <w:shd w:val="clear" w:color="auto" w:fill="auto"/>
                <w:lang w:val="en-US" w:eastAsia="zh-CN"/>
              </w:rPr>
            </w:pPr>
            <w:r>
              <w:rPr>
                <w:rFonts w:hint="eastAsia" w:ascii="仿宋" w:eastAsia="仿宋" w:cs="仿宋"/>
                <w:color w:val="auto"/>
                <w:kern w:val="0"/>
                <w:sz w:val="24"/>
                <w:szCs w:val="24"/>
                <w:highlight w:val="none"/>
                <w:shd w:val="clear" w:color="auto" w:fill="auto"/>
                <w:lang w:val="en-US" w:eastAsia="zh-CN"/>
              </w:rPr>
              <w:t>短桩配比占总桩长10%内不计短桩费，超出10%部分短桩加收  元/米。（5～8米为短桩）</w:t>
            </w:r>
          </w:p>
        </w:tc>
      </w:tr>
      <w:tr w14:paraId="74A9D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3D9DD">
            <w:pPr>
              <w:keepNext w:val="0"/>
              <w:keepLines w:val="0"/>
              <w:framePr w:wrap="auto" w:vAnchor="margin" w:hAnchor="text" w:yAlign="inline"/>
              <w:widowControl/>
              <w:suppressLineNumbers w:val="0"/>
              <w:jc w:val="center"/>
              <w:textAlignment w:val="bottom"/>
              <w:rPr>
                <w:rFonts w:hint="eastAsia" w:ascii="仿宋" w:eastAsia="仿宋" w:cs="仿宋"/>
                <w:i w:val="0"/>
                <w:color w:val="auto"/>
                <w:kern w:val="2"/>
                <w:sz w:val="24"/>
                <w:szCs w:val="24"/>
                <w:highlight w:val="none"/>
                <w:u w:val="none"/>
                <w:lang w:val="en-US" w:eastAsia="zh-CN"/>
              </w:rPr>
            </w:pPr>
            <w:r>
              <w:rPr>
                <w:rFonts w:hint="eastAsia" w:ascii="仿宋" w:eastAsia="仿宋" w:cs="仿宋"/>
                <w:i w:val="0"/>
                <w:color w:val="auto"/>
                <w:kern w:val="2"/>
                <w:sz w:val="24"/>
                <w:szCs w:val="24"/>
                <w:highlight w:val="none"/>
                <w:u w:val="none"/>
                <w:lang w:val="en-US" w:eastAsia="zh-CN"/>
              </w:rPr>
              <w:t>2</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DA816">
            <w:pPr>
              <w:keepNext w:val="0"/>
              <w:keepLines w:val="0"/>
              <w:framePr w:wrap="auto" w:vAnchor="margin" w:hAnchor="text" w:yAlign="inline"/>
              <w:widowControl/>
              <w:suppressLineNumbers w:val="0"/>
              <w:jc w:val="center"/>
              <w:textAlignment w:val="bottom"/>
              <w:rPr>
                <w:rFonts w:ascii="仿宋" w:eastAsia="仿宋" w:cs="仿宋"/>
                <w:i w:val="0"/>
                <w:color w:val="auto"/>
                <w:kern w:val="2"/>
                <w:sz w:val="24"/>
                <w:szCs w:val="24"/>
                <w:highlight w:val="none"/>
                <w:u w:val="none"/>
                <w:lang w:val="en-US" w:eastAsia="zh-CN"/>
              </w:rPr>
            </w:pPr>
            <w:r>
              <w:rPr>
                <w:rFonts w:ascii="仿宋" w:eastAsia="仿宋" w:cs="仿宋"/>
                <w:color w:val="auto"/>
                <w:kern w:val="0"/>
                <w:sz w:val="24"/>
                <w:szCs w:val="24"/>
                <w:highlight w:val="none"/>
                <w:shd w:val="clear" w:color="auto" w:fill="auto"/>
                <w:lang w:val="en-US" w:eastAsia="zh-CN"/>
              </w:rPr>
              <w:t>短桩</w:t>
            </w:r>
            <w:r>
              <w:rPr>
                <w:rFonts w:hint="eastAsia" w:ascii="仿宋" w:eastAsia="仿宋" w:cs="仿宋"/>
                <w:color w:val="auto"/>
                <w:kern w:val="0"/>
                <w:sz w:val="24"/>
                <w:szCs w:val="24"/>
                <w:highlight w:val="none"/>
                <w:shd w:val="clear" w:color="auto" w:fill="auto"/>
                <w:lang w:val="en-US" w:eastAsia="zh-CN"/>
              </w:rPr>
              <w:t>增加费</w:t>
            </w:r>
          </w:p>
        </w:tc>
        <w:tc>
          <w:tcPr>
            <w:tcW w:w="19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01A034">
            <w:pPr>
              <w:keepNext w:val="0"/>
              <w:keepLines w:val="0"/>
              <w:framePr w:wrap="auto" w:vAnchor="margin" w:hAnchor="text" w:yAlign="inline"/>
              <w:widowControl/>
              <w:suppressLineNumbers w:val="0"/>
              <w:jc w:val="center"/>
              <w:textAlignment w:val="bottom"/>
              <w:rPr>
                <w:rFonts w:hint="eastAsia" w:ascii="仿宋" w:eastAsia="仿宋" w:cs="仿宋"/>
                <w:i w:val="0"/>
                <w:color w:val="auto"/>
                <w:kern w:val="2"/>
                <w:sz w:val="24"/>
                <w:szCs w:val="24"/>
                <w:highlight w:val="none"/>
                <w:u w:val="none"/>
                <w:lang w:val="en-US" w:eastAsia="zh-CN"/>
              </w:rPr>
            </w:pPr>
            <w:r>
              <w:rPr>
                <w:rFonts w:ascii="仿宋" w:eastAsia="仿宋" w:cs="仿宋"/>
                <w:color w:val="auto"/>
                <w:kern w:val="0"/>
                <w:sz w:val="24"/>
                <w:szCs w:val="24"/>
                <w:highlight w:val="none"/>
                <w:shd w:val="clear" w:color="auto" w:fill="auto"/>
                <w:lang w:val="en-US" w:eastAsia="zh-CN"/>
              </w:rPr>
              <w:t>（5～8米为短桩）</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20D92E">
            <w:pPr>
              <w:keepNext w:val="0"/>
              <w:keepLines w:val="0"/>
              <w:framePr w:wrap="auto" w:vAnchor="margin" w:hAnchor="text" w:yAlign="inline"/>
              <w:widowControl/>
              <w:suppressLineNumbers w:val="0"/>
              <w:jc w:val="center"/>
              <w:textAlignment w:val="bottom"/>
              <w:rPr>
                <w:rFonts w:hint="eastAsia" w:ascii="仿宋" w:eastAsia="仿宋" w:cs="仿宋"/>
                <w:i w:val="0"/>
                <w:color w:val="auto"/>
                <w:kern w:val="2"/>
                <w:sz w:val="24"/>
                <w:szCs w:val="24"/>
                <w:highlight w:val="none"/>
                <w:u w:val="none"/>
                <w:lang w:val="en-US" w:eastAsia="zh-CN"/>
              </w:rPr>
            </w:pPr>
            <w:r>
              <w:rPr>
                <w:rFonts w:hint="eastAsia" w:ascii="仿宋" w:eastAsia="仿宋" w:cs="仿宋"/>
                <w:i w:val="0"/>
                <w:color w:val="auto"/>
                <w:kern w:val="2"/>
                <w:sz w:val="24"/>
                <w:szCs w:val="24"/>
                <w:highlight w:val="none"/>
                <w:u w:val="none"/>
                <w:lang w:val="en-US" w:eastAsia="zh-CN"/>
              </w:rPr>
              <w:t>m</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2895D">
            <w:pPr>
              <w:keepNext w:val="0"/>
              <w:keepLines w:val="0"/>
              <w:framePr w:wrap="auto" w:vAnchor="margin" w:hAnchor="text" w:yAlign="inline"/>
              <w:widowControl/>
              <w:suppressLineNumbers w:val="0"/>
              <w:jc w:val="center"/>
              <w:textAlignment w:val="bottom"/>
              <w:rPr>
                <w:rFonts w:ascii="仿宋" w:eastAsia="仿宋" w:cs="仿宋"/>
                <w:i w:val="0"/>
                <w:color w:val="auto"/>
                <w:kern w:val="2"/>
                <w:sz w:val="24"/>
                <w:szCs w:val="24"/>
                <w:highlight w:val="none"/>
                <w:u w:val="none"/>
                <w:lang w:val="en-US" w:eastAsia="zh-CN"/>
              </w:rPr>
            </w:pPr>
            <w:r>
              <w:rPr>
                <w:rFonts w:hint="eastAsia" w:ascii="仿宋" w:eastAsia="仿宋" w:cs="仿宋"/>
                <w:i w:val="0"/>
                <w:color w:val="auto"/>
                <w:kern w:val="2"/>
                <w:sz w:val="24"/>
                <w:szCs w:val="24"/>
                <w:highlight w:val="none"/>
                <w:u w:val="none"/>
                <w:lang w:val="en-US" w:eastAsia="zh-CN"/>
              </w:rPr>
              <w:t>288</w:t>
            </w:r>
          </w:p>
        </w:tc>
        <w:tc>
          <w:tcPr>
            <w:tcW w:w="10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80F5C">
            <w:pPr>
              <w:keepNext w:val="0"/>
              <w:keepLines w:val="0"/>
              <w:framePr w:wrap="auto" w:vAnchor="margin" w:hAnchor="text" w:yAlign="inline"/>
              <w:widowControl/>
              <w:suppressLineNumbers w:val="0"/>
              <w:jc w:val="center"/>
              <w:textAlignment w:val="bottom"/>
              <w:rPr>
                <w:rFonts w:hint="default" w:ascii="仿宋" w:eastAsia="仿宋" w:cs="仿宋"/>
                <w:i w:val="0"/>
                <w:color w:val="auto"/>
                <w:kern w:val="2"/>
                <w:sz w:val="24"/>
                <w:szCs w:val="24"/>
                <w:highlight w:val="none"/>
                <w:u w:val="none"/>
                <w:lang w:val="en-US" w:eastAsia="zh-CN"/>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34672A">
            <w:pPr>
              <w:keepNext w:val="0"/>
              <w:keepLines w:val="0"/>
              <w:framePr w:wrap="auto" w:vAnchor="margin" w:hAnchor="text" w:yAlign="inline"/>
              <w:widowControl/>
              <w:suppressLineNumbers w:val="0"/>
              <w:jc w:val="center"/>
              <w:textAlignment w:val="bottom"/>
              <w:rPr>
                <w:rFonts w:hint="default" w:ascii="仿宋" w:eastAsia="仿宋" w:cs="仿宋"/>
                <w:i w:val="0"/>
                <w:color w:val="auto"/>
                <w:kern w:val="2"/>
                <w:sz w:val="24"/>
                <w:szCs w:val="24"/>
                <w:highlight w:val="none"/>
                <w:u w:val="none"/>
                <w:lang w:val="en-US" w:eastAsia="zh-CN"/>
              </w:rPr>
            </w:pPr>
          </w:p>
        </w:tc>
        <w:tc>
          <w:tcPr>
            <w:tcW w:w="15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E2A3E3">
            <w:pPr>
              <w:framePr w:wrap="auto" w:vAnchor="margin" w:hAnchor="text" w:yAlign="inline"/>
              <w:widowControl w:val="0"/>
              <w:jc w:val="both"/>
              <w:rPr>
                <w:rFonts w:eastAsia="宋体"/>
                <w:color w:val="auto"/>
                <w:kern w:val="2"/>
                <w:sz w:val="21"/>
                <w:szCs w:val="21"/>
                <w:lang w:eastAsia="zh-CN"/>
              </w:rPr>
            </w:pPr>
          </w:p>
        </w:tc>
      </w:tr>
      <w:tr w14:paraId="7DC75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17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F5D707">
            <w:pPr>
              <w:keepNext w:val="0"/>
              <w:keepLines w:val="0"/>
              <w:framePr w:wrap="auto" w:vAnchor="margin" w:hAnchor="text" w:yAlign="inline"/>
              <w:widowControl/>
              <w:suppressLineNumbers w:val="0"/>
              <w:jc w:val="center"/>
              <w:textAlignment w:val="bottom"/>
              <w:rPr>
                <w:rFonts w:hint="eastAsia" w:ascii="仿宋" w:eastAsia="仿宋" w:cs="仿宋"/>
                <w:b/>
                <w:bCs w:val="0"/>
                <w:i w:val="0"/>
                <w:color w:val="auto"/>
                <w:kern w:val="2"/>
                <w:sz w:val="24"/>
                <w:szCs w:val="24"/>
                <w:highlight w:val="none"/>
                <w:u w:val="none"/>
                <w:lang w:eastAsia="zh-CN"/>
              </w:rPr>
            </w:pPr>
            <w:r>
              <w:rPr>
                <w:rFonts w:hint="eastAsia" w:ascii="仿宋" w:eastAsia="仿宋" w:cs="仿宋"/>
                <w:b/>
                <w:bCs w:val="0"/>
                <w:i w:val="0"/>
                <w:color w:val="auto"/>
                <w:kern w:val="0"/>
                <w:sz w:val="24"/>
                <w:szCs w:val="24"/>
                <w:highlight w:val="none"/>
                <w:u w:val="none"/>
                <w:lang w:val="en-US" w:eastAsia="zh-CN"/>
              </w:rPr>
              <w:t>含税金额总价</w:t>
            </w:r>
          </w:p>
        </w:tc>
        <w:tc>
          <w:tcPr>
            <w:tcW w:w="13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DB6F0F4">
            <w:pPr>
              <w:keepNext w:val="0"/>
              <w:keepLines w:val="0"/>
              <w:framePr w:wrap="auto" w:vAnchor="margin" w:hAnchor="text" w:yAlign="inline"/>
              <w:widowControl/>
              <w:suppressLineNumbers w:val="0"/>
              <w:jc w:val="center"/>
              <w:textAlignment w:val="center"/>
              <w:rPr>
                <w:rFonts w:hint="eastAsia" w:ascii="仿宋" w:eastAsia="仿宋" w:cs="仿宋"/>
                <w:b/>
                <w:bCs w:val="0"/>
                <w:i w:val="0"/>
                <w:color w:val="auto"/>
                <w:kern w:val="2"/>
                <w:sz w:val="24"/>
                <w:szCs w:val="24"/>
                <w:highlight w:val="none"/>
                <w:u w:val="none"/>
                <w:lang w:eastAsia="zh-CN"/>
              </w:rPr>
            </w:pPr>
          </w:p>
        </w:tc>
        <w:tc>
          <w:tcPr>
            <w:tcW w:w="1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1434D7">
            <w:pPr>
              <w:framePr w:wrap="auto" w:vAnchor="margin" w:hAnchor="text" w:yAlign="inline"/>
              <w:widowControl w:val="0"/>
              <w:jc w:val="center"/>
              <w:rPr>
                <w:rFonts w:hint="eastAsia" w:ascii="仿宋" w:eastAsia="仿宋" w:cs="仿宋"/>
                <w:b/>
                <w:bCs w:val="0"/>
                <w:i w:val="0"/>
                <w:color w:val="auto"/>
                <w:kern w:val="2"/>
                <w:sz w:val="24"/>
                <w:szCs w:val="24"/>
                <w:highlight w:val="none"/>
                <w:u w:val="none"/>
                <w:lang w:eastAsia="zh-CN"/>
              </w:rPr>
            </w:pPr>
          </w:p>
        </w:tc>
      </w:tr>
      <w:tr w14:paraId="7F6CC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17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8115D">
            <w:pPr>
              <w:keepNext w:val="0"/>
              <w:keepLines w:val="0"/>
              <w:framePr w:wrap="auto" w:vAnchor="margin" w:hAnchor="text" w:yAlign="inline"/>
              <w:widowControl/>
              <w:suppressLineNumbers w:val="0"/>
              <w:jc w:val="center"/>
              <w:textAlignment w:val="bottom"/>
              <w:rPr>
                <w:rFonts w:hint="eastAsia" w:ascii="仿宋" w:eastAsia="仿宋" w:cs="仿宋"/>
                <w:b/>
                <w:bCs w:val="0"/>
                <w:i w:val="0"/>
                <w:color w:val="auto"/>
                <w:kern w:val="2"/>
                <w:sz w:val="24"/>
                <w:szCs w:val="24"/>
                <w:highlight w:val="none"/>
                <w:u w:val="none"/>
                <w:lang w:eastAsia="zh-CN"/>
              </w:rPr>
            </w:pPr>
            <w:r>
              <w:rPr>
                <w:rFonts w:hint="eastAsia" w:ascii="仿宋" w:eastAsia="仿宋" w:cs="仿宋"/>
                <w:b/>
                <w:bCs w:val="0"/>
                <w:i w:val="0"/>
                <w:color w:val="auto"/>
                <w:kern w:val="0"/>
                <w:sz w:val="24"/>
                <w:szCs w:val="24"/>
                <w:highlight w:val="none"/>
                <w:u w:val="none"/>
                <w:lang w:val="en-US" w:eastAsia="zh-CN"/>
              </w:rPr>
              <w:t>增值税（  %）</w:t>
            </w:r>
          </w:p>
        </w:tc>
        <w:tc>
          <w:tcPr>
            <w:tcW w:w="13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ECC6CBE">
            <w:pPr>
              <w:keepNext w:val="0"/>
              <w:keepLines w:val="0"/>
              <w:framePr w:wrap="auto" w:vAnchor="margin" w:hAnchor="text" w:yAlign="inline"/>
              <w:widowControl/>
              <w:suppressLineNumbers w:val="0"/>
              <w:jc w:val="center"/>
              <w:textAlignment w:val="center"/>
              <w:rPr>
                <w:rFonts w:ascii="仿宋" w:eastAsia="仿宋" w:cs="仿宋"/>
                <w:b/>
                <w:bCs w:val="0"/>
                <w:i w:val="0"/>
                <w:color w:val="auto"/>
                <w:kern w:val="2"/>
                <w:sz w:val="24"/>
                <w:szCs w:val="24"/>
                <w:highlight w:val="none"/>
                <w:u w:val="none"/>
                <w:lang w:val="en-US" w:eastAsia="zh-CN"/>
              </w:rPr>
            </w:pPr>
          </w:p>
        </w:tc>
        <w:tc>
          <w:tcPr>
            <w:tcW w:w="1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6FAF3">
            <w:pPr>
              <w:framePr w:wrap="auto" w:vAnchor="margin" w:hAnchor="text" w:yAlign="inline"/>
              <w:widowControl w:val="0"/>
              <w:jc w:val="center"/>
              <w:rPr>
                <w:rFonts w:hint="eastAsia" w:ascii="仿宋" w:eastAsia="仿宋" w:cs="仿宋"/>
                <w:b/>
                <w:bCs w:val="0"/>
                <w:i w:val="0"/>
                <w:color w:val="auto"/>
                <w:kern w:val="2"/>
                <w:sz w:val="24"/>
                <w:szCs w:val="24"/>
                <w:highlight w:val="none"/>
                <w:u w:val="none"/>
                <w:lang w:eastAsia="zh-CN"/>
              </w:rPr>
            </w:pPr>
          </w:p>
        </w:tc>
      </w:tr>
      <w:tr w14:paraId="6E115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17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084EA7">
            <w:pPr>
              <w:keepNext w:val="0"/>
              <w:keepLines w:val="0"/>
              <w:framePr w:wrap="auto" w:vAnchor="margin" w:hAnchor="text" w:yAlign="inline"/>
              <w:widowControl/>
              <w:suppressLineNumbers w:val="0"/>
              <w:jc w:val="center"/>
              <w:textAlignment w:val="bottom"/>
              <w:rPr>
                <w:rFonts w:hint="eastAsia" w:ascii="仿宋" w:eastAsia="仿宋" w:cs="仿宋"/>
                <w:b/>
                <w:bCs w:val="0"/>
                <w:i w:val="0"/>
                <w:color w:val="auto"/>
                <w:kern w:val="2"/>
                <w:sz w:val="24"/>
                <w:szCs w:val="24"/>
                <w:highlight w:val="none"/>
                <w:u w:val="none"/>
                <w:lang w:eastAsia="zh-CN"/>
              </w:rPr>
            </w:pPr>
            <w:r>
              <w:rPr>
                <w:rFonts w:hint="eastAsia" w:ascii="仿宋" w:eastAsia="仿宋" w:cs="仿宋"/>
                <w:b/>
                <w:bCs w:val="0"/>
                <w:i w:val="0"/>
                <w:color w:val="auto"/>
                <w:kern w:val="0"/>
                <w:sz w:val="24"/>
                <w:szCs w:val="24"/>
                <w:highlight w:val="none"/>
                <w:u w:val="none"/>
                <w:lang w:val="en-US" w:eastAsia="zh-CN"/>
              </w:rPr>
              <w:t>不含税</w:t>
            </w:r>
            <w:r>
              <w:rPr>
                <w:rFonts w:hint="eastAsia" w:ascii="仿宋" w:eastAsia="仿宋" w:cs="仿宋"/>
                <w:b/>
                <w:bCs w:val="0"/>
                <w:color w:val="auto"/>
                <w:kern w:val="2"/>
                <w:sz w:val="24"/>
                <w:szCs w:val="24"/>
                <w:highlight w:val="none"/>
                <w:u w:val="none"/>
                <w:lang w:val="en-US" w:eastAsia="zh-CN"/>
              </w:rPr>
              <w:t>金额总价</w:t>
            </w:r>
          </w:p>
        </w:tc>
        <w:tc>
          <w:tcPr>
            <w:tcW w:w="13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478D055">
            <w:pPr>
              <w:keepNext w:val="0"/>
              <w:keepLines w:val="0"/>
              <w:framePr w:wrap="auto" w:vAnchor="margin" w:hAnchor="text" w:yAlign="inline"/>
              <w:widowControl/>
              <w:suppressLineNumbers w:val="0"/>
              <w:jc w:val="center"/>
              <w:textAlignment w:val="center"/>
              <w:rPr>
                <w:rFonts w:ascii="仿宋" w:eastAsia="仿宋" w:cs="仿宋"/>
                <w:b/>
                <w:bCs w:val="0"/>
                <w:i w:val="0"/>
                <w:color w:val="auto"/>
                <w:kern w:val="2"/>
                <w:sz w:val="24"/>
                <w:szCs w:val="24"/>
                <w:highlight w:val="none"/>
                <w:u w:val="none"/>
                <w:lang w:val="en-US" w:eastAsia="zh-CN"/>
              </w:rPr>
            </w:pPr>
          </w:p>
        </w:tc>
        <w:tc>
          <w:tcPr>
            <w:tcW w:w="15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AE898">
            <w:pPr>
              <w:framePr w:wrap="auto" w:vAnchor="margin" w:hAnchor="text" w:yAlign="inline"/>
              <w:widowControl w:val="0"/>
              <w:jc w:val="center"/>
              <w:rPr>
                <w:rFonts w:hint="eastAsia" w:ascii="仿宋" w:eastAsia="仿宋" w:cs="仿宋"/>
                <w:b/>
                <w:bCs w:val="0"/>
                <w:i w:val="0"/>
                <w:color w:val="auto"/>
                <w:kern w:val="2"/>
                <w:sz w:val="24"/>
                <w:szCs w:val="24"/>
                <w:highlight w:val="none"/>
                <w:u w:val="none"/>
                <w:lang w:eastAsia="zh-CN"/>
              </w:rPr>
            </w:pPr>
          </w:p>
        </w:tc>
      </w:tr>
    </w:tbl>
    <w:p w14:paraId="03CBB5E3">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yellow"/>
          <w:lang w:val="zh-CN" w:eastAsia="zh-CN"/>
        </w:rPr>
      </w:pPr>
    </w:p>
    <w:p w14:paraId="64C7062D">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注：1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本合同的含税总价为人民币</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元（大写：</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），其中不含增值税总价</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元（大写：</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），增值税</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元（大写：</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），增值税按不含增值税总价的</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val="zh-CN" w:eastAsia="zh-CN"/>
        </w:rPr>
        <w:t>%单列</w:t>
      </w:r>
      <w:r>
        <w:rPr>
          <w:rFonts w:hint="eastAsia" w:ascii="仿宋" w:eastAsia="仿宋" w:cs="宋体"/>
          <w:b w:val="0"/>
          <w:bCs/>
          <w:color w:val="auto"/>
          <w:kern w:val="2"/>
          <w:sz w:val="24"/>
          <w:szCs w:val="24"/>
          <w:highlight w:val="none"/>
          <w:lang w:eastAsia="zh-CN"/>
        </w:rPr>
        <w:t>（增值税税率随国家政策和适用税率同步调整）</w:t>
      </w:r>
      <w:r>
        <w:rPr>
          <w:rFonts w:hint="eastAsia" w:ascii="仿宋" w:eastAsia="仿宋"/>
          <w:color w:val="auto"/>
          <w:kern w:val="2"/>
          <w:sz w:val="24"/>
          <w:szCs w:val="24"/>
          <w:highlight w:val="none"/>
          <w:lang w:val="zh-CN" w:eastAsia="zh-CN"/>
        </w:rPr>
        <w:t>；本合同暂定总价不作为双方最终结算的依据。结算供货量按实际发生的每月得到甲方项目经理签认计量的供货量为准。</w:t>
      </w:r>
    </w:p>
    <w:p w14:paraId="4852B434">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合同单价为综合单价，综合单价为材料运至施工现场的交货综合单价，包括但不限于车辆进出场费、运输费、燃料费、过路费、食宿费、管理费、利润、除增值税以外的一切税费（包括但不限于为实施本合同应缴纳的企业所得税、个人所得税、印花税、资源税 、城市维护建设税、教育费附加、地方教育附加一切税费等）风险、沿途抑尘、降噪环保费以及本合同约定的应由乙方负责的费用。</w:t>
      </w:r>
    </w:p>
    <w:p w14:paraId="4B037F77">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eastAsia="zh-CN"/>
        </w:rPr>
        <w:t>3</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表中所列“需求数量”为暂定数量，实际供应数量以项目部施工需求为准，当实际供应数量不足需求表中数量时，乙方不得以需求不足向甲方进行索偿；合同综合单价在供应期内为可变单价。</w:t>
      </w:r>
    </w:p>
    <w:p w14:paraId="503D3312">
      <w:pPr>
        <w:framePr w:wrap="auto" w:vAnchor="margin" w:hAnchor="text" w:yAlign="inline"/>
        <w:widowControl w:val="0"/>
        <w:spacing w:line="360" w:lineRule="auto"/>
        <w:ind w:firstLine="480" w:firstLineChars="200"/>
        <w:jc w:val="both"/>
        <w:rPr>
          <w:rFonts w:hint="eastAsia" w:ascii="仿宋" w:eastAsia="仿宋"/>
          <w:b w:val="0"/>
          <w:bCs/>
          <w:color w:val="auto"/>
          <w:kern w:val="2"/>
          <w:sz w:val="24"/>
          <w:szCs w:val="24"/>
          <w:highlight w:val="none"/>
          <w:u w:val="none"/>
          <w:lang w:val="en-US" w:eastAsia="zh-CN"/>
        </w:rPr>
      </w:pPr>
      <w:r>
        <w:rPr>
          <w:rFonts w:hint="eastAsia" w:ascii="仿宋" w:eastAsia="仿宋"/>
          <w:b w:val="0"/>
          <w:bCs/>
          <w:color w:val="auto"/>
          <w:kern w:val="2"/>
          <w:sz w:val="24"/>
          <w:szCs w:val="24"/>
          <w:highlight w:val="none"/>
          <w:u w:val="none"/>
          <w:lang w:val="en-US" w:eastAsia="zh-CN"/>
        </w:rPr>
        <w:t>4.当实际供应数量超过合同数量的10%时，需要签订补充协议，否则送货单、材料签收单、对账单、结算单等相关资料签认无效。</w:t>
      </w:r>
    </w:p>
    <w:p w14:paraId="63903AEE">
      <w:pPr>
        <w:framePr w:wrap="auto" w:vAnchor="margin" w:hAnchor="text" w:yAlign="inline"/>
        <w:widowControl w:val="0"/>
        <w:autoSpaceDE w:val="0"/>
        <w:autoSpaceDN w:val="0"/>
        <w:spacing w:line="360" w:lineRule="auto"/>
        <w:ind w:firstLine="482" w:firstLineChars="200"/>
        <w:jc w:val="both"/>
        <w:rPr>
          <w:rFonts w:hint="eastAsia" w:ascii="仿宋" w:eastAsia="仿宋"/>
          <w:b/>
          <w:color w:val="auto"/>
          <w:kern w:val="2"/>
          <w:sz w:val="24"/>
          <w:szCs w:val="24"/>
          <w:highlight w:val="none"/>
          <w:lang w:val="zh-CN" w:eastAsia="zh-CN"/>
        </w:rPr>
      </w:pPr>
      <w:r>
        <w:rPr>
          <w:rFonts w:hint="eastAsia" w:ascii="仿宋" w:eastAsia="仿宋"/>
          <w:b/>
          <w:color w:val="auto"/>
          <w:kern w:val="2"/>
          <w:sz w:val="24"/>
          <w:szCs w:val="24"/>
          <w:highlight w:val="none"/>
          <w:lang w:eastAsia="zh-CN"/>
        </w:rPr>
        <w:t>四</w:t>
      </w:r>
      <w:r>
        <w:rPr>
          <w:rFonts w:hint="eastAsia" w:ascii="仿宋" w:eastAsia="仿宋"/>
          <w:b/>
          <w:color w:val="auto"/>
          <w:kern w:val="2"/>
          <w:sz w:val="24"/>
          <w:szCs w:val="24"/>
          <w:highlight w:val="none"/>
          <w:lang w:val="zh-CN" w:eastAsia="zh-CN"/>
        </w:rPr>
        <w:t>、</w:t>
      </w:r>
      <w:r>
        <w:rPr>
          <w:rFonts w:hint="eastAsia" w:ascii="仿宋" w:eastAsia="仿宋"/>
          <w:b/>
          <w:color w:val="auto"/>
          <w:kern w:val="2"/>
          <w:sz w:val="24"/>
          <w:szCs w:val="24"/>
          <w:highlight w:val="none"/>
          <w:lang w:val="en-US" w:eastAsia="zh-CN"/>
        </w:rPr>
        <w:t>砼预应力管桩</w:t>
      </w:r>
      <w:r>
        <w:rPr>
          <w:rFonts w:hint="eastAsia" w:ascii="仿宋" w:eastAsia="仿宋"/>
          <w:b/>
          <w:color w:val="auto"/>
          <w:kern w:val="2"/>
          <w:sz w:val="24"/>
          <w:szCs w:val="24"/>
          <w:highlight w:val="none"/>
          <w:lang w:val="zh-CN" w:eastAsia="zh-CN"/>
        </w:rPr>
        <w:t>的检测与验收</w:t>
      </w:r>
    </w:p>
    <w:p w14:paraId="27654C59">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乙方签订本合同前，必须向甲方（或甲方项目部）提供所供应规格材料的质量检测报告</w:t>
      </w:r>
      <w:r>
        <w:rPr>
          <w:rFonts w:hint="eastAsia" w:ascii="仿宋" w:eastAsia="仿宋"/>
          <w:color w:val="auto"/>
          <w:kern w:val="2"/>
          <w:sz w:val="24"/>
          <w:szCs w:val="24"/>
          <w:highlight w:val="none"/>
          <w:lang w:val="en-US" w:eastAsia="zh-CN"/>
        </w:rPr>
        <w:t>和合格证</w:t>
      </w:r>
      <w:r>
        <w:rPr>
          <w:rFonts w:hint="eastAsia" w:ascii="仿宋" w:eastAsia="仿宋"/>
          <w:color w:val="auto"/>
          <w:kern w:val="2"/>
          <w:sz w:val="24"/>
          <w:szCs w:val="24"/>
          <w:highlight w:val="none"/>
          <w:lang w:eastAsia="zh-CN"/>
        </w:rPr>
        <w:t>（原件，或复印件加盖乙方公章，前后不超过2个月）。</w:t>
      </w:r>
    </w:p>
    <w:p w14:paraId="7E5C753C">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u w:val="none"/>
          <w:lang w:eastAsia="zh-CN"/>
        </w:rPr>
      </w:pPr>
      <w:r>
        <w:rPr>
          <w:rFonts w:hint="eastAsia" w:ascii="仿宋" w:eastAsia="仿宋"/>
          <w:color w:val="auto"/>
          <w:kern w:val="2"/>
          <w:sz w:val="24"/>
          <w:szCs w:val="24"/>
          <w:highlight w:val="none"/>
          <w:lang w:val="zh-CN" w:eastAsia="zh-CN"/>
        </w:rPr>
        <w:t>2</w:t>
      </w:r>
      <w:r>
        <w:rPr>
          <w:rFonts w:hint="eastAsia" w:ascii="仿宋" w:eastAsia="仿宋"/>
          <w:color w:val="auto"/>
          <w:kern w:val="2"/>
          <w:sz w:val="24"/>
          <w:szCs w:val="24"/>
          <w:highlight w:val="none"/>
          <w:lang w:val="en-US" w:eastAsia="zh-CN"/>
        </w:rPr>
        <w:t>.砼预应力管桩</w:t>
      </w:r>
      <w:r>
        <w:rPr>
          <w:rFonts w:hint="eastAsia" w:ascii="仿宋" w:eastAsia="仿宋"/>
          <w:color w:val="auto"/>
          <w:kern w:val="2"/>
          <w:sz w:val="24"/>
          <w:szCs w:val="24"/>
          <w:highlight w:val="none"/>
          <w:lang w:val="zh-CN" w:eastAsia="zh-CN"/>
        </w:rPr>
        <w:t>的</w:t>
      </w:r>
      <w:r>
        <w:rPr>
          <w:rFonts w:hint="eastAsia" w:ascii="仿宋" w:eastAsia="仿宋"/>
          <w:color w:val="auto"/>
          <w:kern w:val="2"/>
          <w:sz w:val="24"/>
          <w:szCs w:val="24"/>
          <w:highlight w:val="none"/>
          <w:lang w:eastAsia="zh-CN"/>
        </w:rPr>
        <w:t>现场验收应由运输车辆司机或乙方所派的指定人员</w:t>
      </w:r>
      <w:r>
        <w:rPr>
          <w:rFonts w:hint="eastAsia" w:ascii="仿宋" w:eastAsia="仿宋" w:cs="仿宋"/>
          <w:color w:val="auto"/>
          <w:kern w:val="2"/>
          <w:sz w:val="24"/>
          <w:szCs w:val="24"/>
          <w:highlight w:val="none"/>
          <w:u w:val="none"/>
          <w:lang w:eastAsia="zh-CN"/>
        </w:rPr>
        <w:t>、甲方的专职材料员</w:t>
      </w:r>
      <w:r>
        <w:rPr>
          <w:rFonts w:hint="eastAsia" w:ascii="仿宋" w:eastAsia="仿宋" w:cs="仿宋"/>
          <w:color w:val="auto"/>
          <w:kern w:val="2"/>
          <w:sz w:val="24"/>
          <w:szCs w:val="24"/>
          <w:highlight w:val="none"/>
          <w:u w:val="none"/>
          <w:lang w:val="en-US" w:eastAsia="zh-CN"/>
        </w:rPr>
        <w:t>、</w:t>
      </w:r>
      <w:r>
        <w:rPr>
          <w:rFonts w:hint="eastAsia" w:ascii="仿宋" w:eastAsia="仿宋"/>
          <w:color w:val="auto"/>
          <w:kern w:val="2"/>
          <w:sz w:val="24"/>
          <w:szCs w:val="24"/>
          <w:highlight w:val="none"/>
          <w:u w:val="none"/>
          <w:lang w:eastAsia="zh-CN"/>
        </w:rPr>
        <w:t>驻地监理共同参与。验收时，验收人员应对每批</w:t>
      </w:r>
      <w:r>
        <w:rPr>
          <w:rFonts w:hint="eastAsia" w:ascii="仿宋" w:eastAsia="仿宋"/>
          <w:color w:val="auto"/>
          <w:kern w:val="2"/>
          <w:sz w:val="24"/>
          <w:szCs w:val="24"/>
          <w:highlight w:val="none"/>
          <w:u w:val="none"/>
          <w:lang w:val="en-US" w:eastAsia="zh-CN"/>
        </w:rPr>
        <w:t>预应力管桩</w:t>
      </w:r>
      <w:r>
        <w:rPr>
          <w:rFonts w:hint="eastAsia" w:ascii="仿宋" w:eastAsia="仿宋"/>
          <w:color w:val="auto"/>
          <w:kern w:val="2"/>
          <w:sz w:val="24"/>
          <w:szCs w:val="24"/>
          <w:highlight w:val="none"/>
          <w:u w:val="none"/>
          <w:lang w:eastAsia="zh-CN"/>
        </w:rPr>
        <w:t>送货单、出厂证明文件等资料进行核对，核实到货数量，并作相应记录，如发现情况异常，验收人员有权拒绝卸货，因此造成的损失由乙方负责。材料验收合格后由验收人员在材料签收单上签名并盖项目</w:t>
      </w:r>
      <w:r>
        <w:rPr>
          <w:rFonts w:hint="eastAsia" w:ascii="仿宋" w:eastAsia="仿宋"/>
          <w:color w:val="auto"/>
          <w:kern w:val="2"/>
          <w:sz w:val="24"/>
          <w:szCs w:val="24"/>
          <w:highlight w:val="none"/>
          <w:u w:val="none"/>
          <w:lang w:val="en-US" w:eastAsia="zh-CN"/>
        </w:rPr>
        <w:t>部</w:t>
      </w:r>
      <w:r>
        <w:rPr>
          <w:rFonts w:hint="eastAsia" w:ascii="仿宋" w:eastAsia="仿宋"/>
          <w:color w:val="auto"/>
          <w:kern w:val="2"/>
          <w:sz w:val="24"/>
          <w:szCs w:val="24"/>
          <w:highlight w:val="none"/>
          <w:u w:val="none"/>
          <w:lang w:eastAsia="zh-CN"/>
        </w:rPr>
        <w:t>章确认，但该确认不能免除乙方对材料质量、重量所负有的责任。</w:t>
      </w:r>
    </w:p>
    <w:p w14:paraId="4A5AFED5">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u w:val="none"/>
          <w:lang w:eastAsia="zh-CN"/>
        </w:rPr>
        <w:t>3</w:t>
      </w:r>
      <w:r>
        <w:rPr>
          <w:rFonts w:hint="eastAsia" w:ascii="仿宋" w:eastAsia="仿宋"/>
          <w:color w:val="auto"/>
          <w:kern w:val="2"/>
          <w:sz w:val="24"/>
          <w:szCs w:val="24"/>
          <w:highlight w:val="none"/>
          <w:u w:val="none"/>
          <w:lang w:val="en-US" w:eastAsia="zh-CN"/>
        </w:rPr>
        <w:t>.</w:t>
      </w:r>
      <w:r>
        <w:rPr>
          <w:rFonts w:hint="eastAsia" w:ascii="仿宋" w:eastAsia="仿宋"/>
          <w:color w:val="auto"/>
          <w:kern w:val="2"/>
          <w:sz w:val="24"/>
          <w:szCs w:val="24"/>
          <w:highlight w:val="none"/>
          <w:u w:val="none"/>
          <w:lang w:eastAsia="zh-CN"/>
        </w:rPr>
        <w:t>甲方指定收货人：</w:t>
      </w:r>
      <w:r>
        <w:rPr>
          <w:rFonts w:hint="eastAsia" w:ascii="仿宋" w:eastAsia="仿宋" w:cs="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s="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none"/>
          <w:shd w:val="clear" w:color="auto" w:fill="auto"/>
          <w:lang w:eastAsia="zh-CN"/>
        </w:rPr>
        <w:t xml:space="preserve"> ，</w:t>
      </w:r>
      <w:r>
        <w:rPr>
          <w:rFonts w:hint="eastAsia" w:ascii="仿宋" w:eastAsia="仿宋"/>
          <w:color w:val="auto"/>
          <w:kern w:val="2"/>
          <w:sz w:val="24"/>
          <w:szCs w:val="24"/>
          <w:highlight w:val="none"/>
          <w:u w:val="none"/>
          <w:shd w:val="clear" w:color="auto" w:fill="auto"/>
          <w:lang w:val="en-US" w:eastAsia="zh-CN"/>
        </w:rPr>
        <w:t>身份证号</w:t>
      </w:r>
      <w:r>
        <w:rPr>
          <w:rFonts w:hint="eastAsia" w:ascii="仿宋" w:eastAsia="仿宋"/>
          <w:color w:val="auto"/>
          <w:kern w:val="2"/>
          <w:sz w:val="24"/>
          <w:szCs w:val="24"/>
          <w:highlight w:val="none"/>
          <w:u w:val="single"/>
          <w:shd w:val="clear" w:color="auto" w:fill="auto"/>
          <w:lang w:val="en-US"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shd w:val="clear" w:color="auto" w:fill="auto"/>
          <w:lang w:val="en-US" w:eastAsia="zh-CN"/>
        </w:rPr>
        <w:t xml:space="preserve"> </w:t>
      </w:r>
      <w:r>
        <w:rPr>
          <w:rFonts w:hint="eastAsia" w:ascii="仿宋" w:eastAsia="仿宋"/>
          <w:color w:val="auto"/>
          <w:kern w:val="2"/>
          <w:sz w:val="24"/>
          <w:szCs w:val="24"/>
          <w:highlight w:val="none"/>
          <w:u w:val="none"/>
          <w:shd w:val="clear" w:color="auto" w:fill="auto"/>
          <w:lang w:val="en-US" w:eastAsia="zh-CN"/>
        </w:rPr>
        <w:t xml:space="preserve"> ，</w:t>
      </w:r>
      <w:r>
        <w:rPr>
          <w:rFonts w:hint="eastAsia" w:ascii="仿宋" w:eastAsia="仿宋"/>
          <w:color w:val="auto"/>
          <w:kern w:val="2"/>
          <w:sz w:val="24"/>
          <w:szCs w:val="24"/>
          <w:highlight w:val="none"/>
          <w:u w:val="none"/>
          <w:shd w:val="clear" w:color="auto" w:fill="auto"/>
          <w:lang w:eastAsia="zh-CN"/>
        </w:rPr>
        <w:t>联系电话</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shd w:val="clear" w:color="auto" w:fill="auto"/>
          <w:lang w:val="en-US" w:eastAsia="zh-CN"/>
        </w:rPr>
        <w:t xml:space="preserve"> </w:t>
      </w:r>
      <w:r>
        <w:rPr>
          <w:rFonts w:hint="eastAsia" w:ascii="仿宋" w:eastAsia="仿宋"/>
          <w:color w:val="auto"/>
          <w:kern w:val="2"/>
          <w:sz w:val="24"/>
          <w:szCs w:val="24"/>
          <w:highlight w:val="none"/>
          <w:u w:val="none"/>
          <w:shd w:val="clear" w:color="auto" w:fill="auto"/>
          <w:lang w:eastAsia="zh-CN"/>
        </w:rPr>
        <w:t xml:space="preserve"> ，</w:t>
      </w:r>
      <w:r>
        <w:rPr>
          <w:rFonts w:hint="eastAsia" w:ascii="仿宋" w:eastAsia="仿宋" w:cs="仿宋"/>
          <w:color w:val="auto"/>
          <w:kern w:val="2"/>
          <w:sz w:val="24"/>
          <w:szCs w:val="24"/>
          <w:highlight w:val="none"/>
          <w:u w:val="none"/>
          <w:lang w:val="en-US" w:eastAsia="zh-CN"/>
        </w:rPr>
        <w:t>微信号</w:t>
      </w:r>
      <w:r>
        <w:rPr>
          <w:rFonts w:hint="eastAsia" w:ascii="仿宋" w:eastAsia="仿宋" w:cs="仿宋"/>
          <w:color w:val="auto"/>
          <w:kern w:val="2"/>
          <w:sz w:val="24"/>
          <w:szCs w:val="24"/>
          <w:highlight w:val="none"/>
          <w:u w:val="single"/>
          <w:lang w:val="en-US" w:eastAsia="zh-CN"/>
        </w:rPr>
        <w:t xml:space="preserve">      </w:t>
      </w:r>
      <w:r>
        <w:rPr>
          <w:rFonts w:hint="eastAsia" w:eastAsia="宋体"/>
          <w:color w:val="auto"/>
          <w:kern w:val="2"/>
          <w:sz w:val="21"/>
          <w:szCs w:val="21"/>
          <w:highlight w:val="none"/>
          <w:lang w:eastAsia="zh-CN"/>
        </w:rPr>
        <w:t>；</w:t>
      </w:r>
      <w:r>
        <w:rPr>
          <w:rFonts w:hint="eastAsia" w:ascii="仿宋" w:eastAsia="仿宋"/>
          <w:color w:val="auto"/>
          <w:kern w:val="2"/>
          <w:sz w:val="24"/>
          <w:szCs w:val="24"/>
          <w:highlight w:val="none"/>
          <w:u w:val="none"/>
          <w:lang w:eastAsia="zh-CN"/>
        </w:rPr>
        <w:t>甲方收货联系人仅有权对乙方送货单中的</w:t>
      </w:r>
      <w:r>
        <w:rPr>
          <w:rFonts w:hint="eastAsia" w:ascii="仿宋" w:eastAsia="仿宋"/>
          <w:color w:val="auto"/>
          <w:kern w:val="2"/>
          <w:sz w:val="24"/>
          <w:szCs w:val="24"/>
          <w:highlight w:val="none"/>
          <w:lang w:eastAsia="zh-CN"/>
        </w:rPr>
        <w:t>数量予以确认，无权对货物价款以及最终结算单进行确认。</w:t>
      </w:r>
    </w:p>
    <w:p w14:paraId="2B994A00">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乙方发货联系人</w:t>
      </w:r>
      <w:r>
        <w:rPr>
          <w:rFonts w:hint="eastAsia" w:ascii="仿宋" w:eastAsia="仿宋" w:cs="仿宋"/>
          <w:color w:val="auto"/>
          <w:kern w:val="2"/>
          <w:sz w:val="24"/>
          <w:szCs w:val="24"/>
          <w:highlight w:val="none"/>
          <w:u w:val="single"/>
          <w:lang w:val="en-US" w:eastAsia="zh-CN"/>
        </w:rPr>
        <w:t xml:space="preserve">   </w:t>
      </w:r>
      <w:r>
        <w:rPr>
          <w:rFonts w:hint="eastAsia" w:ascii="仿宋" w:eastAsia="仿宋" w:cs="仿宋"/>
          <w:color w:val="auto"/>
          <w:kern w:val="2"/>
          <w:sz w:val="24"/>
          <w:szCs w:val="24"/>
          <w:highlight w:val="none"/>
          <w:u w:val="none"/>
          <w:lang w:val="en-US" w:eastAsia="zh-CN"/>
        </w:rPr>
        <w:t>，电话</w:t>
      </w:r>
      <w:r>
        <w:rPr>
          <w:rFonts w:hint="eastAsia" w:ascii="仿宋" w:eastAsia="仿宋" w:cs="仿宋"/>
          <w:color w:val="auto"/>
          <w:kern w:val="2"/>
          <w:sz w:val="24"/>
          <w:szCs w:val="24"/>
          <w:highlight w:val="none"/>
          <w:u w:val="single"/>
          <w:lang w:val="en-US" w:eastAsia="zh-CN"/>
        </w:rPr>
        <w:t xml:space="preserve">   </w:t>
      </w:r>
      <w:r>
        <w:rPr>
          <w:rFonts w:hint="eastAsia" w:ascii="仿宋" w:eastAsia="仿宋" w:cs="仿宋"/>
          <w:color w:val="auto"/>
          <w:kern w:val="2"/>
          <w:sz w:val="24"/>
          <w:szCs w:val="24"/>
          <w:highlight w:val="none"/>
          <w:u w:val="none"/>
          <w:lang w:eastAsia="zh-CN"/>
        </w:rPr>
        <w:t>，身份证号</w:t>
      </w:r>
      <w:r>
        <w:rPr>
          <w:rFonts w:hint="eastAsia" w:ascii="仿宋" w:eastAsia="仿宋" w:cs="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none"/>
          <w:shd w:val="clear" w:color="auto" w:fill="auto"/>
          <w:lang w:eastAsia="zh-CN"/>
        </w:rPr>
        <w:t>，</w:t>
      </w:r>
      <w:r>
        <w:rPr>
          <w:rFonts w:hint="eastAsia" w:ascii="仿宋" w:eastAsia="仿宋" w:cs="仿宋"/>
          <w:color w:val="auto"/>
          <w:kern w:val="2"/>
          <w:sz w:val="24"/>
          <w:szCs w:val="24"/>
          <w:highlight w:val="none"/>
          <w:u w:val="none"/>
          <w:lang w:val="en-US" w:eastAsia="zh-CN"/>
        </w:rPr>
        <w:t>微信号</w:t>
      </w:r>
      <w:r>
        <w:rPr>
          <w:rFonts w:hint="eastAsia" w:ascii="仿宋" w:eastAsia="仿宋" w:cs="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；乙方须将货物运至交货地点交甲方联系人签收确认方为有效。非本合同约定甲方联系人签收的送货单，视为甲方未收到相应货物，对甲方不具有效力。</w:t>
      </w:r>
    </w:p>
    <w:p w14:paraId="59050364">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eastAsia="zh-CN"/>
        </w:rPr>
        <w:t>甲乙各自委派的</w:t>
      </w:r>
      <w:r>
        <w:rPr>
          <w:rFonts w:hint="eastAsia" w:ascii="仿宋" w:eastAsia="仿宋"/>
          <w:color w:val="auto"/>
          <w:kern w:val="2"/>
          <w:sz w:val="24"/>
          <w:szCs w:val="24"/>
          <w:highlight w:val="none"/>
          <w:lang w:val="zh-CN" w:eastAsia="zh-CN"/>
        </w:rPr>
        <w:t>材料验收人员，双方应以公函形式通知对方，如果一方验收人员发生变更时，双方应及时用公函形式通知对方作相应的更改。</w:t>
      </w:r>
      <w:r>
        <w:rPr>
          <w:rFonts w:hint="eastAsia" w:ascii="仿宋" w:eastAsia="仿宋"/>
          <w:color w:val="auto"/>
          <w:kern w:val="2"/>
          <w:sz w:val="24"/>
          <w:szCs w:val="24"/>
          <w:highlight w:val="none"/>
          <w:lang w:val="en-US" w:eastAsia="zh-CN"/>
        </w:rPr>
        <w:t>此</w:t>
      </w:r>
      <w:r>
        <w:rPr>
          <w:rFonts w:hint="eastAsia" w:ascii="仿宋" w:eastAsia="仿宋"/>
          <w:color w:val="auto"/>
          <w:kern w:val="2"/>
          <w:sz w:val="24"/>
          <w:szCs w:val="24"/>
          <w:highlight w:val="none"/>
          <w:lang w:val="zh-CN" w:eastAsia="zh-CN"/>
        </w:rPr>
        <w:t>部分往来所产生的公函，应作为本合同的组成部分。</w:t>
      </w:r>
    </w:p>
    <w:p w14:paraId="59C6DD15">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4</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材料进场后，甲方按有关规范抽检，检验费用由</w:t>
      </w:r>
      <w:r>
        <w:rPr>
          <w:rFonts w:hint="eastAsia" w:ascii="仿宋" w:eastAsia="仿宋"/>
          <w:color w:val="auto"/>
          <w:kern w:val="2"/>
          <w:sz w:val="24"/>
          <w:szCs w:val="24"/>
          <w:highlight w:val="none"/>
          <w:lang w:val="zh-CN" w:eastAsia="zh-CN"/>
        </w:rPr>
        <w:t>甲方</w:t>
      </w:r>
      <w:r>
        <w:rPr>
          <w:rFonts w:hint="eastAsia" w:ascii="仿宋" w:eastAsia="仿宋"/>
          <w:color w:val="auto"/>
          <w:kern w:val="2"/>
          <w:sz w:val="24"/>
          <w:szCs w:val="24"/>
          <w:highlight w:val="none"/>
          <w:lang w:eastAsia="zh-CN"/>
        </w:rPr>
        <w:t>负责。</w:t>
      </w:r>
      <w:r>
        <w:rPr>
          <w:rFonts w:hint="eastAsia" w:ascii="仿宋" w:eastAsia="仿宋"/>
          <w:color w:val="auto"/>
          <w:kern w:val="2"/>
          <w:sz w:val="24"/>
          <w:szCs w:val="24"/>
          <w:highlight w:val="none"/>
          <w:lang w:val="zh-CN" w:eastAsia="zh-CN"/>
        </w:rPr>
        <w:t>甲方</w:t>
      </w:r>
      <w:r>
        <w:rPr>
          <w:rFonts w:hint="eastAsia" w:ascii="仿宋" w:eastAsia="仿宋"/>
          <w:color w:val="auto"/>
          <w:kern w:val="2"/>
          <w:sz w:val="24"/>
          <w:szCs w:val="24"/>
          <w:highlight w:val="none"/>
          <w:lang w:eastAsia="zh-CN"/>
        </w:rPr>
        <w:t>如</w:t>
      </w:r>
      <w:r>
        <w:rPr>
          <w:rFonts w:hint="eastAsia" w:ascii="仿宋" w:eastAsia="仿宋"/>
          <w:color w:val="auto"/>
          <w:kern w:val="2"/>
          <w:sz w:val="24"/>
          <w:szCs w:val="24"/>
          <w:highlight w:val="none"/>
          <w:lang w:val="zh-CN" w:eastAsia="zh-CN"/>
        </w:rPr>
        <w:t>对材料质量有异议，应以本项目工程监理中心试验室的检测报告为基础提出协商</w:t>
      </w:r>
      <w:r>
        <w:rPr>
          <w:rFonts w:hint="eastAsia" w:ascii="仿宋" w:eastAsia="仿宋"/>
          <w:color w:val="auto"/>
          <w:kern w:val="2"/>
          <w:sz w:val="24"/>
          <w:szCs w:val="24"/>
          <w:highlight w:val="none"/>
          <w:lang w:eastAsia="zh-CN"/>
        </w:rPr>
        <w:t>。若出现质量争议，以</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none"/>
          <w:lang w:eastAsia="zh-CN"/>
        </w:rPr>
        <w:t>为</w:t>
      </w:r>
      <w:r>
        <w:rPr>
          <w:rFonts w:hint="eastAsia" w:ascii="仿宋" w:eastAsia="仿宋"/>
          <w:color w:val="auto"/>
          <w:kern w:val="2"/>
          <w:sz w:val="24"/>
          <w:szCs w:val="24"/>
          <w:highlight w:val="none"/>
          <w:lang w:eastAsia="zh-CN"/>
        </w:rPr>
        <w:t>最终结果（但该结果不能免除乙方所应承担的材料质量责任）。如果鉴定为不合格，质检费用由乙方负责，乙方负责将不合格材料运走。因材料质量造成甲方返工或工期，乙方应承担由此给甲方带来的返工、误工等一切损失，甲方保留向乙方追索的权利。</w:t>
      </w:r>
    </w:p>
    <w:p w14:paraId="61E3B5C2">
      <w:pPr>
        <w:framePr w:wrap="auto" w:vAnchor="margin" w:hAnchor="text" w:yAlign="inline"/>
        <w:widowControl w:val="0"/>
        <w:tabs>
          <w:tab w:val="left" w:pos="1260"/>
        </w:tabs>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5</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材料的数量确认以双方共同签认</w:t>
      </w:r>
      <w:r>
        <w:rPr>
          <w:rFonts w:hint="eastAsia" w:ascii="仿宋" w:eastAsia="仿宋"/>
          <w:color w:val="auto"/>
          <w:kern w:val="2"/>
          <w:sz w:val="24"/>
          <w:szCs w:val="24"/>
          <w:highlight w:val="none"/>
          <w:lang w:val="en-US" w:eastAsia="zh-CN"/>
        </w:rPr>
        <w:t>送货数量为准</w:t>
      </w:r>
      <w:r>
        <w:rPr>
          <w:rFonts w:hint="eastAsia" w:ascii="仿宋" w:eastAsia="仿宋"/>
          <w:color w:val="auto"/>
          <w:kern w:val="2"/>
          <w:sz w:val="24"/>
          <w:szCs w:val="24"/>
          <w:highlight w:val="none"/>
          <w:lang w:eastAsia="zh-CN"/>
        </w:rPr>
        <w:t>；若</w:t>
      </w:r>
      <w:r>
        <w:rPr>
          <w:rFonts w:hint="eastAsia" w:ascii="仿宋" w:eastAsia="仿宋"/>
          <w:color w:val="auto"/>
          <w:kern w:val="2"/>
          <w:sz w:val="24"/>
          <w:szCs w:val="24"/>
          <w:highlight w:val="none"/>
          <w:lang w:val="zh-CN" w:eastAsia="zh-CN"/>
        </w:rPr>
        <w:t>甲方对乙方供应的材料数量有异议，</w:t>
      </w:r>
      <w:r>
        <w:rPr>
          <w:rFonts w:hint="eastAsia" w:ascii="仿宋" w:eastAsia="仿宋"/>
          <w:color w:val="auto"/>
          <w:kern w:val="2"/>
          <w:sz w:val="24"/>
          <w:szCs w:val="24"/>
          <w:highlight w:val="none"/>
          <w:lang w:eastAsia="zh-CN"/>
        </w:rPr>
        <w:t>甲方</w:t>
      </w:r>
      <w:r>
        <w:rPr>
          <w:rFonts w:hint="eastAsia" w:ascii="仿宋" w:eastAsia="仿宋"/>
          <w:color w:val="auto"/>
          <w:kern w:val="2"/>
          <w:sz w:val="24"/>
          <w:szCs w:val="24"/>
          <w:highlight w:val="none"/>
          <w:lang w:val="zh-CN" w:eastAsia="zh-CN"/>
        </w:rPr>
        <w:t>应在货到工地</w:t>
      </w:r>
      <w:r>
        <w:rPr>
          <w:rFonts w:hint="eastAsia" w:ascii="仿宋" w:eastAsia="仿宋"/>
          <w:color w:val="auto"/>
          <w:kern w:val="2"/>
          <w:sz w:val="24"/>
          <w:szCs w:val="24"/>
          <w:highlight w:val="none"/>
          <w:lang w:val="en-US" w:eastAsia="zh-CN"/>
        </w:rPr>
        <w:t>后尽快</w:t>
      </w:r>
      <w:r>
        <w:rPr>
          <w:rFonts w:hint="eastAsia" w:ascii="仿宋" w:eastAsia="仿宋"/>
          <w:color w:val="auto"/>
          <w:kern w:val="2"/>
          <w:sz w:val="24"/>
          <w:szCs w:val="24"/>
          <w:highlight w:val="none"/>
          <w:lang w:val="zh-CN" w:eastAsia="zh-CN"/>
        </w:rPr>
        <w:t>安排</w:t>
      </w:r>
      <w:r>
        <w:rPr>
          <w:rFonts w:hint="eastAsia" w:ascii="仿宋" w:eastAsia="仿宋"/>
          <w:color w:val="auto"/>
          <w:kern w:val="2"/>
          <w:sz w:val="24"/>
          <w:szCs w:val="24"/>
          <w:highlight w:val="none"/>
          <w:lang w:val="en-US" w:eastAsia="zh-CN"/>
        </w:rPr>
        <w:t>复测</w:t>
      </w:r>
      <w:r>
        <w:rPr>
          <w:rFonts w:hint="eastAsia" w:ascii="仿宋" w:eastAsia="仿宋"/>
          <w:color w:val="auto"/>
          <w:kern w:val="2"/>
          <w:sz w:val="24"/>
          <w:szCs w:val="24"/>
          <w:highlight w:val="none"/>
          <w:lang w:val="zh-CN" w:eastAsia="zh-CN"/>
        </w:rPr>
        <w:t>，</w:t>
      </w:r>
      <w:r>
        <w:rPr>
          <w:rFonts w:hint="eastAsia" w:ascii="仿宋" w:eastAsia="仿宋"/>
          <w:color w:val="auto"/>
          <w:kern w:val="2"/>
          <w:sz w:val="24"/>
          <w:szCs w:val="24"/>
          <w:highlight w:val="none"/>
          <w:lang w:val="en-US" w:eastAsia="zh-CN"/>
        </w:rPr>
        <w:t>若</w:t>
      </w:r>
      <w:r>
        <w:rPr>
          <w:rFonts w:hint="eastAsia" w:ascii="仿宋" w:eastAsia="仿宋"/>
          <w:color w:val="auto"/>
          <w:kern w:val="2"/>
          <w:sz w:val="24"/>
          <w:szCs w:val="24"/>
          <w:highlight w:val="none"/>
          <w:lang w:val="zh-CN" w:eastAsia="zh-CN"/>
        </w:rPr>
        <w:t>数量与送货单数量之差不超过±3‰范围，以送货单数量为准；否则，</w:t>
      </w:r>
      <w:r>
        <w:rPr>
          <w:rFonts w:hint="eastAsia" w:ascii="仿宋" w:eastAsia="仿宋"/>
          <w:color w:val="auto"/>
          <w:kern w:val="2"/>
          <w:sz w:val="24"/>
          <w:szCs w:val="24"/>
          <w:highlight w:val="none"/>
          <w:lang w:eastAsia="zh-CN"/>
        </w:rPr>
        <w:t>以现场</w:t>
      </w:r>
      <w:r>
        <w:rPr>
          <w:rFonts w:hint="eastAsia" w:ascii="仿宋" w:eastAsia="仿宋"/>
          <w:color w:val="auto"/>
          <w:kern w:val="2"/>
          <w:sz w:val="24"/>
          <w:szCs w:val="24"/>
          <w:highlight w:val="none"/>
          <w:lang w:val="en-US" w:eastAsia="zh-CN"/>
        </w:rPr>
        <w:t>实际测得</w:t>
      </w:r>
      <w:r>
        <w:rPr>
          <w:rFonts w:hint="eastAsia" w:ascii="仿宋" w:eastAsia="仿宋"/>
          <w:color w:val="auto"/>
          <w:kern w:val="2"/>
          <w:sz w:val="24"/>
          <w:szCs w:val="24"/>
          <w:highlight w:val="none"/>
          <w:lang w:eastAsia="zh-CN"/>
        </w:rPr>
        <w:t>数量为准，</w:t>
      </w:r>
      <w:r>
        <w:rPr>
          <w:rFonts w:hint="eastAsia" w:ascii="仿宋" w:eastAsia="仿宋"/>
          <w:color w:val="auto"/>
          <w:kern w:val="2"/>
          <w:sz w:val="24"/>
          <w:szCs w:val="24"/>
          <w:highlight w:val="none"/>
          <w:lang w:val="en-US" w:eastAsia="zh-CN"/>
        </w:rPr>
        <w:t>由此造成的一切损失</w:t>
      </w:r>
      <w:r>
        <w:rPr>
          <w:rFonts w:hint="eastAsia" w:ascii="仿宋" w:eastAsia="仿宋"/>
          <w:color w:val="auto"/>
          <w:kern w:val="2"/>
          <w:sz w:val="24"/>
          <w:szCs w:val="24"/>
          <w:highlight w:val="none"/>
          <w:lang w:val="zh-CN" w:eastAsia="zh-CN"/>
        </w:rPr>
        <w:t>由乙方负担。</w:t>
      </w:r>
    </w:p>
    <w:p w14:paraId="34CBCA5A">
      <w:pPr>
        <w:framePr w:wrap="auto" w:vAnchor="margin" w:hAnchor="text" w:yAlign="inline"/>
        <w:widowControl w:val="0"/>
        <w:autoSpaceDE w:val="0"/>
        <w:autoSpaceDN w:val="0"/>
        <w:spacing w:line="360" w:lineRule="auto"/>
        <w:ind w:firstLine="482" w:firstLineChars="200"/>
        <w:jc w:val="both"/>
        <w:rPr>
          <w:rFonts w:hint="eastAsia" w:ascii="仿宋" w:eastAsia="仿宋"/>
          <w:b/>
          <w:color w:val="auto"/>
          <w:kern w:val="2"/>
          <w:sz w:val="24"/>
          <w:szCs w:val="24"/>
          <w:highlight w:val="none"/>
          <w:lang w:val="zh-CN" w:eastAsia="zh-CN"/>
        </w:rPr>
      </w:pPr>
      <w:r>
        <w:rPr>
          <w:rFonts w:hint="eastAsia" w:ascii="仿宋" w:eastAsia="仿宋"/>
          <w:b/>
          <w:color w:val="auto"/>
          <w:kern w:val="2"/>
          <w:sz w:val="24"/>
          <w:szCs w:val="24"/>
          <w:highlight w:val="none"/>
          <w:lang w:eastAsia="zh-CN"/>
        </w:rPr>
        <w:t>五</w:t>
      </w:r>
      <w:r>
        <w:rPr>
          <w:rFonts w:hint="eastAsia" w:ascii="仿宋" w:eastAsia="仿宋"/>
          <w:b/>
          <w:color w:val="auto"/>
          <w:kern w:val="2"/>
          <w:sz w:val="24"/>
          <w:szCs w:val="24"/>
          <w:highlight w:val="none"/>
          <w:lang w:val="zh-CN" w:eastAsia="zh-CN"/>
        </w:rPr>
        <w:t>、双方责任与义务</w:t>
      </w:r>
    </w:p>
    <w:p w14:paraId="7E1664B8">
      <w:pPr>
        <w:framePr w:wrap="auto" w:vAnchor="margin" w:hAnchor="text" w:yAlign="inline"/>
        <w:widowControl w:val="0"/>
        <w:autoSpaceDE w:val="0"/>
        <w:autoSpaceDN w:val="0"/>
        <w:spacing w:line="360" w:lineRule="auto"/>
        <w:ind w:firstLine="482" w:firstLineChars="200"/>
        <w:jc w:val="both"/>
        <w:rPr>
          <w:rFonts w:hint="eastAsia" w:ascii="仿宋" w:eastAsia="仿宋"/>
          <w:b/>
          <w:bCs/>
          <w:color w:val="auto"/>
          <w:kern w:val="2"/>
          <w:sz w:val="24"/>
          <w:szCs w:val="24"/>
          <w:highlight w:val="none"/>
          <w:lang w:val="zh-CN" w:eastAsia="zh-CN"/>
        </w:rPr>
      </w:pPr>
      <w:r>
        <w:rPr>
          <w:rFonts w:hint="eastAsia" w:ascii="仿宋" w:eastAsia="仿宋"/>
          <w:b/>
          <w:color w:val="auto"/>
          <w:kern w:val="2"/>
          <w:sz w:val="24"/>
          <w:szCs w:val="24"/>
          <w:highlight w:val="none"/>
          <w:lang w:val="zh-CN" w:eastAsia="zh-CN"/>
        </w:rPr>
        <w:t>（一）</w:t>
      </w:r>
      <w:r>
        <w:rPr>
          <w:rFonts w:hint="eastAsia" w:ascii="仿宋" w:eastAsia="仿宋"/>
          <w:b/>
          <w:bCs/>
          <w:color w:val="auto"/>
          <w:kern w:val="2"/>
          <w:sz w:val="24"/>
          <w:szCs w:val="24"/>
          <w:highlight w:val="none"/>
          <w:lang w:val="zh-CN" w:eastAsia="zh-CN"/>
        </w:rPr>
        <w:t>甲方责任与义务</w:t>
      </w:r>
    </w:p>
    <w:p w14:paraId="59CD7E26">
      <w:pPr>
        <w:framePr w:wrap="auto" w:vAnchor="margin" w:hAnchor="text" w:yAlign="inline"/>
        <w:widowControl w:val="0"/>
        <w:autoSpaceDE w:val="0"/>
        <w:autoSpaceDN w:val="0"/>
        <w:adjustRightInd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甲方对乙方每月完成的供应量进行计量结算，结算的数量以甲方确认的结算表的数量作为结算依据</w:t>
      </w:r>
      <w:r>
        <w:rPr>
          <w:rFonts w:hint="eastAsia" w:ascii="仿宋" w:eastAsia="仿宋" w:cs="仿宋"/>
          <w:color w:val="auto"/>
          <w:kern w:val="2"/>
          <w:sz w:val="24"/>
          <w:szCs w:val="24"/>
          <w:highlight w:val="none"/>
          <w:lang w:val="zh-CN" w:eastAsia="zh-CN"/>
        </w:rPr>
        <w:t>。</w:t>
      </w:r>
    </w:p>
    <w:p w14:paraId="23CD957E">
      <w:pPr>
        <w:framePr w:wrap="auto" w:vAnchor="margin" w:hAnchor="text" w:yAlign="inline"/>
        <w:widowControl w:val="0"/>
        <w:autoSpaceDE w:val="0"/>
        <w:autoSpaceDN w:val="0"/>
        <w:adjustRightInd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合同签署后，甲方于</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lang w:val="zh-CN" w:eastAsia="zh-CN"/>
        </w:rPr>
        <w:t>天（日历日）内向乙方提供本项目使用的材料需求计划，以便乙方组织货源。实施供应前，甲方需在每月</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lang w:val="zh-CN" w:eastAsia="zh-CN"/>
        </w:rPr>
        <w:t>日前正式向乙方提交书面的月度使用计划和具体供货需求时间，每批次计划提前</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lang w:val="zh-CN" w:eastAsia="zh-CN"/>
        </w:rPr>
        <w:t>天（日历日）以书面形式（包括传真）通知乙方。</w:t>
      </w:r>
    </w:p>
    <w:p w14:paraId="105B182C">
      <w:pPr>
        <w:widowControl w:val="0"/>
        <w:spacing w:after="0" w:line="360" w:lineRule="auto"/>
        <w:ind w:firstLine="480" w:firstLineChars="200"/>
        <w:jc w:val="both"/>
        <w:rPr>
          <w:rFonts w:hint="eastAsia" w:ascii="仿宋" w:hAnsi="Times New Roman" w:eastAsia="仿宋" w:cs="Times New Roman"/>
          <w:color w:val="auto"/>
          <w:kern w:val="2"/>
          <w:sz w:val="24"/>
          <w:szCs w:val="24"/>
          <w:highlight w:val="none"/>
          <w:lang w:val="en-US" w:eastAsia="zh-CN" w:bidi="ar-SA"/>
        </w:rPr>
      </w:pPr>
      <w:r>
        <w:rPr>
          <w:rFonts w:hint="eastAsia" w:ascii="仿宋" w:hAnsi="Times New Roman" w:eastAsia="仿宋" w:cs="Times New Roman"/>
          <w:color w:val="auto"/>
          <w:kern w:val="2"/>
          <w:sz w:val="24"/>
          <w:szCs w:val="24"/>
          <w:highlight w:val="none"/>
          <w:lang w:val="en-US" w:eastAsia="zh-CN" w:bidi="ar-SA"/>
        </w:rPr>
        <w:t xml:space="preserve">3.实施供应时，若甲方因故对申报批次计划有变动要求时，应在到货前 </w:t>
      </w:r>
      <w:r>
        <w:rPr>
          <w:rFonts w:hint="eastAsia" w:ascii="仿宋" w:hAnsi="Times New Roman" w:eastAsia="仿宋" w:cs="Times New Roman"/>
          <w:color w:val="auto"/>
          <w:kern w:val="2"/>
          <w:sz w:val="24"/>
          <w:szCs w:val="24"/>
          <w:highlight w:val="none"/>
          <w:u w:val="single"/>
          <w:lang w:val="en-US" w:eastAsia="zh-CN" w:bidi="ar-SA"/>
        </w:rPr>
        <w:t xml:space="preserve"> 1 </w:t>
      </w:r>
      <w:r>
        <w:rPr>
          <w:rFonts w:hint="eastAsia" w:ascii="仿宋" w:hAnsi="Times New Roman" w:eastAsia="仿宋" w:cs="Times New Roman"/>
          <w:color w:val="auto"/>
          <w:kern w:val="2"/>
          <w:sz w:val="24"/>
          <w:szCs w:val="24"/>
          <w:highlight w:val="none"/>
          <w:lang w:val="en-US" w:eastAsia="zh-CN" w:bidi="ar-SA"/>
        </w:rPr>
        <w:t>天（日历日）告知乙方，以便确认此批次计划的调整。如该批次计划的材料已发货，甲方应积极与乙方协商调换事宜，涉及费用双方协调。</w:t>
      </w:r>
    </w:p>
    <w:p w14:paraId="2C787BED">
      <w:pPr>
        <w:framePr w:wrap="auto" w:vAnchor="margin" w:hAnchor="text" w:yAlign="inline"/>
        <w:widowControl w:val="0"/>
        <w:autoSpaceDE w:val="0"/>
        <w:autoSpaceDN w:val="0"/>
        <w:adjustRightInd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4</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原则上甲方需求的材料乙方应在材料需求期限内供应完毕；若因甲方原需求超出该供应期，甲方必须提前</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lang w:val="zh-CN" w:eastAsia="zh-CN"/>
        </w:rPr>
        <w:t>天（日历日）以书面方式通知乙方，以便乙方调整供应计划。</w:t>
      </w:r>
    </w:p>
    <w:p w14:paraId="04743A99">
      <w:pPr>
        <w:framePr w:wrap="auto" w:vAnchor="margin" w:hAnchor="text" w:yAlign="inline"/>
        <w:widowControl w:val="0"/>
        <w:autoSpaceDE w:val="0"/>
        <w:autoSpaceDN w:val="0"/>
        <w:adjustRightInd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5</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交货地点为</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施工现场（具体卸货地点由甲方明确）。甲方须为乙方提供卸货作业场地，并提供材料仓库或符合要求的材料堆放场地。如因道路或场地原因造成材料无法运送而停工，损失由甲方承担。</w:t>
      </w:r>
    </w:p>
    <w:p w14:paraId="5126A148">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6</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当</w:t>
      </w:r>
      <w:r>
        <w:rPr>
          <w:rFonts w:hint="eastAsia" w:ascii="仿宋" w:eastAsia="仿宋"/>
          <w:color w:val="auto"/>
          <w:kern w:val="2"/>
          <w:sz w:val="24"/>
          <w:szCs w:val="24"/>
          <w:highlight w:val="none"/>
          <w:lang w:val="zh-CN" w:eastAsia="zh-CN"/>
        </w:rPr>
        <w:t>材料</w:t>
      </w:r>
      <w:r>
        <w:rPr>
          <w:rFonts w:hint="eastAsia" w:ascii="仿宋" w:eastAsia="仿宋"/>
          <w:color w:val="auto"/>
          <w:kern w:val="2"/>
          <w:sz w:val="24"/>
          <w:szCs w:val="24"/>
          <w:highlight w:val="none"/>
          <w:lang w:eastAsia="zh-CN"/>
        </w:rPr>
        <w:t>的质量不符合要求，甲方将有权做出如下决定，乙方对此不得存在异议：</w:t>
      </w:r>
    </w:p>
    <w:p w14:paraId="6BA4FD38">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(1)对已进甲方仓库或材料罐的不合格材料清理出场，处理费用由乙方负责；</w:t>
      </w:r>
    </w:p>
    <w:p w14:paraId="30EDE623">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w:t>
      </w:r>
      <w:r>
        <w:rPr>
          <w:rFonts w:hint="eastAsia" w:ascii="仿宋" w:eastAsia="仿宋"/>
          <w:color w:val="auto"/>
          <w:kern w:val="2"/>
          <w:sz w:val="24"/>
          <w:szCs w:val="24"/>
          <w:highlight w:val="none"/>
          <w:lang w:val="en-US" w:eastAsia="zh-CN"/>
        </w:rPr>
        <w:t>2</w:t>
      </w:r>
      <w:r>
        <w:rPr>
          <w:rFonts w:hint="eastAsia" w:ascii="仿宋" w:eastAsia="仿宋"/>
          <w:color w:val="auto"/>
          <w:kern w:val="2"/>
          <w:sz w:val="24"/>
          <w:szCs w:val="24"/>
          <w:highlight w:val="none"/>
          <w:lang w:eastAsia="zh-CN"/>
        </w:rPr>
        <w:t>)若经甲、乙双方采取措施后，仍无法满足合同要求时,则甲方有权以书面形式通知乙方终止部分或全部合同，乙方必须遵照执行。对甲方造成的损失，甲方保留向乙方索赔的权利。因违约而导致本合同解除所产生的未结算货物，除不合格品由乙方负责清理出场外，合格材料的结算，由双方另立补充协议予以完善。</w:t>
      </w:r>
    </w:p>
    <w:p w14:paraId="2FFAADAE">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7</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按合同约定进行计量支付。</w:t>
      </w:r>
    </w:p>
    <w:p w14:paraId="6855277F">
      <w:pPr>
        <w:framePr w:wrap="auto" w:vAnchor="margin" w:hAnchor="text" w:yAlign="inline"/>
        <w:widowControl w:val="0"/>
        <w:autoSpaceDE w:val="0"/>
        <w:autoSpaceDN w:val="0"/>
        <w:adjustRightInd w:val="0"/>
        <w:spacing w:line="360" w:lineRule="auto"/>
        <w:ind w:firstLine="482" w:firstLineChars="200"/>
        <w:jc w:val="both"/>
        <w:rPr>
          <w:rFonts w:hint="eastAsia" w:ascii="仿宋" w:eastAsia="仿宋"/>
          <w:b/>
          <w:bCs/>
          <w:color w:val="auto"/>
          <w:kern w:val="2"/>
          <w:sz w:val="24"/>
          <w:szCs w:val="24"/>
          <w:highlight w:val="none"/>
          <w:lang w:val="zh-CN" w:eastAsia="zh-CN"/>
        </w:rPr>
      </w:pPr>
      <w:r>
        <w:rPr>
          <w:rFonts w:hint="eastAsia" w:ascii="仿宋" w:eastAsia="仿宋"/>
          <w:b/>
          <w:bCs/>
          <w:color w:val="auto"/>
          <w:kern w:val="2"/>
          <w:sz w:val="24"/>
          <w:szCs w:val="24"/>
          <w:highlight w:val="none"/>
          <w:lang w:val="zh-CN" w:eastAsia="zh-CN"/>
        </w:rPr>
        <w:t>（二）乙方责任与义务</w:t>
      </w:r>
    </w:p>
    <w:p w14:paraId="0FDB066D">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乙方根据甲方的需求，负责甲方指定的</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none"/>
          <w:lang w:val="en-US" w:eastAsia="zh-CN"/>
        </w:rPr>
        <w:t>预应力管</w:t>
      </w:r>
      <w:r>
        <w:rPr>
          <w:rFonts w:hint="eastAsia" w:ascii="仿宋" w:eastAsia="仿宋"/>
          <w:color w:val="auto"/>
          <w:kern w:val="2"/>
          <w:sz w:val="24"/>
          <w:szCs w:val="24"/>
          <w:highlight w:val="none"/>
          <w:lang w:val="zh-CN" w:eastAsia="zh-CN"/>
        </w:rPr>
        <w:t>材料的运输与供应，并负责运输</w:t>
      </w:r>
      <w:r>
        <w:rPr>
          <w:rFonts w:hint="eastAsia" w:ascii="仿宋" w:eastAsia="仿宋"/>
          <w:color w:val="auto"/>
          <w:kern w:val="2"/>
          <w:sz w:val="24"/>
          <w:szCs w:val="24"/>
          <w:highlight w:val="none"/>
          <w:lang w:eastAsia="zh-CN"/>
        </w:rPr>
        <w:t>过程中的一切手续、</w:t>
      </w:r>
      <w:r>
        <w:rPr>
          <w:rFonts w:hint="eastAsia" w:ascii="仿宋" w:eastAsia="仿宋"/>
          <w:color w:val="auto"/>
          <w:kern w:val="2"/>
          <w:sz w:val="24"/>
          <w:szCs w:val="24"/>
          <w:highlight w:val="none"/>
          <w:lang w:val="zh-CN" w:eastAsia="zh-CN"/>
        </w:rPr>
        <w:t>费用及货物在途的一切风险。</w:t>
      </w:r>
    </w:p>
    <w:p w14:paraId="43260236">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val="zh-CN"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乙方所提供的材料的质量必须符合本合同第二条的技术要求，必须满足甲方现场施工的设计要求和施工要求，并提供材料出厂质保书或厂家检验报告。</w:t>
      </w:r>
      <w:r>
        <w:rPr>
          <w:rFonts w:hint="eastAsia" w:ascii="仿宋" w:eastAsia="仿宋"/>
          <w:color w:val="auto"/>
          <w:kern w:val="2"/>
          <w:sz w:val="24"/>
          <w:szCs w:val="24"/>
          <w:highlight w:val="none"/>
          <w:lang w:eastAsia="zh-CN"/>
        </w:rPr>
        <w:t>不合格品不得用于甲方工程，不合格材料的检验费由乙方承担。</w:t>
      </w:r>
    </w:p>
    <w:p w14:paraId="3DCC86B8">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3</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当材料的质</w:t>
      </w:r>
      <w:r>
        <w:rPr>
          <w:rFonts w:hint="eastAsia" w:ascii="仿宋" w:eastAsia="仿宋"/>
          <w:strike w:val="0"/>
          <w:dstrike w:val="0"/>
          <w:color w:val="auto"/>
          <w:kern w:val="2"/>
          <w:sz w:val="24"/>
          <w:szCs w:val="24"/>
          <w:highlight w:val="none"/>
          <w:lang w:eastAsia="zh-CN"/>
        </w:rPr>
        <w:t>量</w:t>
      </w:r>
      <w:r>
        <w:rPr>
          <w:rFonts w:hint="eastAsia" w:ascii="仿宋" w:eastAsia="仿宋"/>
          <w:color w:val="auto"/>
          <w:kern w:val="2"/>
          <w:sz w:val="24"/>
          <w:szCs w:val="24"/>
          <w:highlight w:val="none"/>
          <w:lang w:eastAsia="zh-CN"/>
        </w:rPr>
        <w:t>不能满足甲方要求时，除按本条第（一）款第6项的约定处理外，由此对甲方造成的所有损失均由乙方承担。</w:t>
      </w:r>
    </w:p>
    <w:p w14:paraId="563809B9">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4</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乙方按时、按甲方要求，保质、保量向甲方提供符合本合同规定的材料，并提供相应的物流服务。乙方协助甲方进行材料在甲方工地的交接。</w:t>
      </w:r>
    </w:p>
    <w:p w14:paraId="76C023B1">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5</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乙方应负责提供货物运至合同约定的交货地点所要求的包装或防护，该包装或防护应足以防止货物在交货前发生损坏或变质。如有发生损坏或变质，甲方保留向乙方追偿的权利。</w:t>
      </w:r>
    </w:p>
    <w:p w14:paraId="000D611B">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6</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乙方保证本合同所供的货物是合同所约定的品牌，全新的、未使用过的，全部货物没有设计、材料或工艺上的缺陷。乙方保证本合同所交付的货物免受第三方主张任何权利的义务，否则给甲方造成的损失和产生的包括但不限于垫付的费用、诉讼费、保全费、保全担保费、律师代理费等费用及相关法律责任由乙方负责赔偿和承担。</w:t>
      </w:r>
    </w:p>
    <w:p w14:paraId="4284B31B">
      <w:pPr>
        <w:framePr w:wrap="auto" w:vAnchor="margin" w:hAnchor="text" w:yAlign="inline"/>
        <w:widowControl w:val="0"/>
        <w:autoSpaceDE w:val="0"/>
        <w:autoSpaceDN w:val="0"/>
        <w:adjustRightInd w:val="0"/>
        <w:spacing w:line="360" w:lineRule="auto"/>
        <w:ind w:firstLine="482" w:firstLineChars="200"/>
        <w:jc w:val="both"/>
        <w:rPr>
          <w:rFonts w:ascii="仿宋" w:eastAsia="仿宋"/>
          <w:b/>
          <w:bCs/>
          <w:color w:val="auto"/>
          <w:kern w:val="2"/>
          <w:sz w:val="24"/>
          <w:szCs w:val="24"/>
          <w:highlight w:val="none"/>
          <w:lang w:val="zh-CN" w:eastAsia="zh-CN"/>
        </w:rPr>
      </w:pPr>
      <w:r>
        <w:rPr>
          <w:rFonts w:hint="eastAsia" w:ascii="仿宋" w:eastAsia="仿宋"/>
          <w:b/>
          <w:bCs/>
          <w:color w:val="auto"/>
          <w:kern w:val="2"/>
          <w:sz w:val="24"/>
          <w:szCs w:val="24"/>
          <w:highlight w:val="none"/>
          <w:lang w:eastAsia="zh-CN"/>
        </w:rPr>
        <w:t>六</w:t>
      </w:r>
      <w:r>
        <w:rPr>
          <w:rFonts w:hint="eastAsia" w:ascii="仿宋" w:eastAsia="仿宋"/>
          <w:b/>
          <w:bCs/>
          <w:color w:val="auto"/>
          <w:kern w:val="2"/>
          <w:sz w:val="24"/>
          <w:szCs w:val="24"/>
          <w:highlight w:val="none"/>
          <w:lang w:val="zh-CN" w:eastAsia="zh-CN"/>
        </w:rPr>
        <w:t>、结算和支付</w:t>
      </w:r>
    </w:p>
    <w:p w14:paraId="072D9070">
      <w:pPr>
        <w:framePr w:wrap="auto" w:vAnchor="margin" w:hAnchor="text" w:yAlign="inline"/>
        <w:widowControl w:val="0"/>
        <w:spacing w:line="360" w:lineRule="auto"/>
        <w:ind w:firstLine="480" w:firstLineChars="200"/>
        <w:jc w:val="left"/>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计量支付和结算原则</w:t>
      </w:r>
    </w:p>
    <w:p w14:paraId="487AAEEB">
      <w:pPr>
        <w:framePr w:wrap="auto" w:vAnchor="margin" w:hAnchor="text" w:yAlign="inline"/>
        <w:widowControl w:val="0"/>
        <w:spacing w:line="360" w:lineRule="auto"/>
        <w:ind w:firstLine="482" w:firstLineChars="200"/>
        <w:jc w:val="both"/>
        <w:rPr>
          <w:rFonts w:hint="eastAsia" w:ascii="仿宋" w:eastAsia="仿宋"/>
          <w:b w:val="0"/>
          <w:bCs w:val="0"/>
          <w:color w:val="auto"/>
          <w:kern w:val="2"/>
          <w:sz w:val="24"/>
          <w:szCs w:val="24"/>
          <w:highlight w:val="none"/>
          <w:lang w:val="zh-CN" w:eastAsia="zh-CN"/>
        </w:rPr>
      </w:pPr>
      <w:r>
        <w:rPr>
          <w:rFonts w:hint="eastAsia" w:ascii="仿宋" w:eastAsia="仿宋" w:cs="宋体"/>
          <w:b/>
          <w:bCs w:val="0"/>
          <w:color w:val="auto"/>
          <w:kern w:val="2"/>
          <w:sz w:val="24"/>
          <w:szCs w:val="21"/>
          <w:highlight w:val="none"/>
          <w:lang w:eastAsia="zh-CN"/>
        </w:rPr>
        <w:t>本合同执行签订合同5天内甲方向乙方支付合同总金额</w:t>
      </w:r>
      <w:r>
        <w:rPr>
          <w:rFonts w:hint="eastAsia" w:ascii="仿宋" w:eastAsia="仿宋" w:cs="宋体"/>
          <w:b/>
          <w:bCs w:val="0"/>
          <w:color w:val="auto"/>
          <w:kern w:val="2"/>
          <w:sz w:val="24"/>
          <w:szCs w:val="21"/>
          <w:highlight w:val="none"/>
          <w:lang w:val="en-US" w:eastAsia="zh-CN"/>
        </w:rPr>
        <w:t>15</w:t>
      </w:r>
      <w:r>
        <w:rPr>
          <w:rFonts w:hint="eastAsia" w:ascii="仿宋" w:eastAsia="仿宋" w:cs="宋体"/>
          <w:b/>
          <w:bCs w:val="0"/>
          <w:color w:val="auto"/>
          <w:kern w:val="2"/>
          <w:sz w:val="24"/>
          <w:szCs w:val="21"/>
          <w:highlight w:val="none"/>
          <w:lang w:eastAsia="zh-CN"/>
        </w:rPr>
        <w:t>%作为预应力管桩材料</w:t>
      </w:r>
      <w:r>
        <w:rPr>
          <w:rFonts w:hint="eastAsia" w:ascii="仿宋" w:eastAsia="仿宋" w:cs="宋体"/>
          <w:b/>
          <w:bCs w:val="0"/>
          <w:color w:val="auto"/>
          <w:kern w:val="2"/>
          <w:sz w:val="24"/>
          <w:szCs w:val="21"/>
          <w:highlight w:val="none"/>
          <w:lang w:val="en-US" w:eastAsia="zh-CN"/>
        </w:rPr>
        <w:t>订</w:t>
      </w:r>
      <w:r>
        <w:rPr>
          <w:rFonts w:hint="eastAsia" w:ascii="仿宋" w:eastAsia="仿宋" w:cs="宋体"/>
          <w:b/>
          <w:bCs w:val="0"/>
          <w:color w:val="auto"/>
          <w:kern w:val="2"/>
          <w:sz w:val="24"/>
          <w:szCs w:val="21"/>
          <w:highlight w:val="none"/>
          <w:lang w:eastAsia="zh-CN"/>
        </w:rPr>
        <w:t>金款，</w:t>
      </w:r>
      <w:r>
        <w:rPr>
          <w:rFonts w:hint="eastAsia" w:ascii="仿宋" w:eastAsia="仿宋" w:cs="宋体"/>
          <w:b/>
          <w:bCs w:val="0"/>
          <w:color w:val="auto"/>
          <w:kern w:val="2"/>
          <w:sz w:val="24"/>
          <w:szCs w:val="21"/>
          <w:highlight w:val="none"/>
          <w:lang w:val="en-US" w:eastAsia="zh-CN"/>
        </w:rPr>
        <w:t>订</w:t>
      </w:r>
      <w:r>
        <w:rPr>
          <w:rFonts w:hint="eastAsia" w:ascii="仿宋" w:eastAsia="仿宋" w:cs="宋体"/>
          <w:b/>
          <w:bCs w:val="0"/>
          <w:color w:val="auto"/>
          <w:kern w:val="2"/>
          <w:sz w:val="24"/>
          <w:szCs w:val="21"/>
          <w:highlight w:val="none"/>
          <w:lang w:eastAsia="zh-CN"/>
        </w:rPr>
        <w:t>金</w:t>
      </w:r>
      <w:r>
        <w:rPr>
          <w:rFonts w:hint="eastAsia" w:ascii="仿宋" w:eastAsia="仿宋" w:cs="宋体"/>
          <w:b/>
          <w:bCs w:val="0"/>
          <w:color w:val="auto"/>
          <w:kern w:val="2"/>
          <w:sz w:val="22"/>
          <w:szCs w:val="20"/>
          <w:highlight w:val="none"/>
          <w:lang w:eastAsia="zh-CN"/>
        </w:rPr>
        <w:t>款从第一次结算款支付中一次性扣回。</w:t>
      </w:r>
    </w:p>
    <w:p w14:paraId="336DD6C6">
      <w:pPr>
        <w:framePr w:wrap="auto" w:vAnchor="margin" w:hAnchor="text" w:yAlign="inline"/>
        <w:widowControl w:val="0"/>
        <w:spacing w:line="360" w:lineRule="auto"/>
        <w:ind w:firstLine="480" w:firstLineChars="200"/>
        <w:jc w:val="both"/>
        <w:rPr>
          <w:rFonts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双方约定中间计量周期为一个月，由上月</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lang w:val="zh-CN" w:eastAsia="zh-CN"/>
        </w:rPr>
        <w:t>日至本月</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val="zh-CN" w:eastAsia="zh-CN"/>
        </w:rPr>
        <w:t xml:space="preserve"> </w:t>
      </w:r>
      <w:r>
        <w:rPr>
          <w:rFonts w:hint="eastAsia" w:ascii="仿宋" w:eastAsia="仿宋"/>
          <w:color w:val="auto"/>
          <w:kern w:val="2"/>
          <w:sz w:val="24"/>
          <w:szCs w:val="24"/>
          <w:highlight w:val="none"/>
          <w:u w:val="single"/>
          <w:lang w:eastAsia="zh-CN"/>
        </w:rPr>
        <w:t xml:space="preserve"> </w:t>
      </w:r>
      <w:r>
        <w:rPr>
          <w:rFonts w:hint="eastAsia" w:ascii="仿宋" w:eastAsia="仿宋"/>
          <w:color w:val="auto"/>
          <w:kern w:val="2"/>
          <w:sz w:val="24"/>
          <w:szCs w:val="24"/>
          <w:highlight w:val="none"/>
          <w:lang w:val="zh-CN" w:eastAsia="zh-CN"/>
        </w:rPr>
        <w:t>日</w:t>
      </w:r>
      <w:r>
        <w:rPr>
          <w:rFonts w:hint="eastAsia" w:ascii="仿宋" w:eastAsia="仿宋"/>
          <w:color w:val="auto"/>
          <w:kern w:val="2"/>
          <w:sz w:val="24"/>
          <w:szCs w:val="24"/>
          <w:highlight w:val="none"/>
          <w:lang w:val="en-US" w:eastAsia="zh-CN"/>
        </w:rPr>
        <w:t>前</w:t>
      </w:r>
      <w:r>
        <w:rPr>
          <w:rFonts w:hint="eastAsia" w:ascii="仿宋" w:eastAsia="仿宋"/>
          <w:color w:val="auto"/>
          <w:kern w:val="2"/>
          <w:sz w:val="24"/>
          <w:szCs w:val="24"/>
          <w:highlight w:val="none"/>
          <w:lang w:val="zh-CN" w:eastAsia="zh-CN"/>
        </w:rPr>
        <w:t>为一个计量周期，完成甲方指定的工作当月将实际供应数量双方进行书面确认，</w:t>
      </w:r>
      <w:r>
        <w:rPr>
          <w:rFonts w:hint="eastAsia" w:ascii="仿宋" w:eastAsia="仿宋"/>
          <w:color w:val="auto"/>
          <w:kern w:val="2"/>
          <w:sz w:val="24"/>
          <w:szCs w:val="24"/>
          <w:highlight w:val="none"/>
          <w:lang w:val="en-US" w:eastAsia="zh-CN"/>
        </w:rPr>
        <w:t>供应材料</w:t>
      </w:r>
      <w:r>
        <w:rPr>
          <w:rFonts w:hint="eastAsia" w:ascii="仿宋" w:eastAsia="仿宋"/>
          <w:color w:val="auto"/>
          <w:kern w:val="2"/>
          <w:sz w:val="24"/>
          <w:szCs w:val="24"/>
          <w:highlight w:val="none"/>
          <w:lang w:val="zh-CN" w:eastAsia="zh-CN"/>
        </w:rPr>
        <w:t>验收合格后</w:t>
      </w:r>
      <w:r>
        <w:rPr>
          <w:rFonts w:hint="eastAsia" w:ascii="仿宋" w:eastAsia="仿宋"/>
          <w:color w:val="auto"/>
          <w:kern w:val="2"/>
          <w:sz w:val="24"/>
          <w:szCs w:val="24"/>
          <w:highlight w:val="none"/>
          <w:lang w:val="en-US" w:eastAsia="zh-CN"/>
        </w:rPr>
        <w:t>3</w:t>
      </w:r>
      <w:r>
        <w:rPr>
          <w:rFonts w:hint="eastAsia" w:ascii="仿宋" w:eastAsia="仿宋"/>
          <w:color w:val="auto"/>
          <w:kern w:val="2"/>
          <w:sz w:val="24"/>
          <w:szCs w:val="24"/>
          <w:highlight w:val="none"/>
          <w:lang w:val="zh-CN" w:eastAsia="zh-CN"/>
        </w:rPr>
        <w:t>个</w:t>
      </w:r>
      <w:r>
        <w:rPr>
          <w:rFonts w:hint="eastAsia" w:ascii="仿宋" w:eastAsia="仿宋"/>
          <w:color w:val="auto"/>
          <w:kern w:val="2"/>
          <w:sz w:val="24"/>
          <w:szCs w:val="24"/>
          <w:highlight w:val="none"/>
          <w:lang w:val="en-US" w:eastAsia="zh-CN"/>
        </w:rPr>
        <w:t>月</w:t>
      </w:r>
      <w:r>
        <w:rPr>
          <w:rFonts w:hint="eastAsia" w:ascii="仿宋" w:eastAsia="仿宋"/>
          <w:color w:val="auto"/>
          <w:kern w:val="2"/>
          <w:sz w:val="24"/>
          <w:szCs w:val="24"/>
          <w:highlight w:val="none"/>
          <w:lang w:val="zh-CN" w:eastAsia="zh-CN"/>
        </w:rPr>
        <w:t>内完成合同结算。</w:t>
      </w:r>
    </w:p>
    <w:p w14:paraId="587577C2">
      <w:pPr>
        <w:framePr w:wrap="auto" w:vAnchor="margin" w:hAnchor="text" w:yAlign="inline"/>
        <w:widowControl w:val="0"/>
        <w:adjustRightInd w:val="0"/>
        <w:snapToGrid w:val="0"/>
        <w:spacing w:line="360" w:lineRule="auto"/>
        <w:ind w:firstLine="480" w:firstLineChars="200"/>
        <w:jc w:val="both"/>
        <w:rPr>
          <w:rFonts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甲方只对甲乙双方确认的乙方实际供应材料数量进行计量支付，甲方无义务向乙方垫付或预付双方已确认计量结算之外的材料款。</w:t>
      </w:r>
    </w:p>
    <w:p w14:paraId="5CE19AB1">
      <w:pPr>
        <w:framePr w:wrap="auto" w:vAnchor="margin" w:hAnchor="text" w:yAlign="inline"/>
        <w:widowControl w:val="0"/>
        <w:adjustRightInd w:val="0"/>
        <w:snapToGrid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甲方对乙方未达到本合同要求的质量标准的材料数量不予计量，乙方应对未达到质量要求的材料数量进行清退，清退费用由乙方承担。</w:t>
      </w:r>
    </w:p>
    <w:p w14:paraId="1F01D9F0">
      <w:pPr>
        <w:framePr w:wrap="auto" w:vAnchor="margin" w:hAnchor="text" w:yAlign="inline"/>
        <w:widowControl w:val="0"/>
        <w:adjustRightInd w:val="0"/>
        <w:snapToGrid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合同签订数量为暂定数量，材料验收合格后由双方验收人员在送货单、材料签收单</w:t>
      </w:r>
      <w:r>
        <w:rPr>
          <w:rFonts w:hint="eastAsia" w:ascii="仿宋" w:eastAsia="仿宋"/>
          <w:color w:val="auto"/>
          <w:kern w:val="2"/>
          <w:sz w:val="24"/>
          <w:szCs w:val="24"/>
          <w:highlight w:val="none"/>
          <w:lang w:val="en-US" w:eastAsia="zh-CN"/>
        </w:rPr>
        <w:t>上</w:t>
      </w:r>
      <w:r>
        <w:rPr>
          <w:rFonts w:hint="eastAsia" w:ascii="仿宋" w:eastAsia="仿宋"/>
          <w:color w:val="auto"/>
          <w:kern w:val="2"/>
          <w:sz w:val="24"/>
          <w:szCs w:val="24"/>
          <w:highlight w:val="none"/>
          <w:lang w:val="zh-CN" w:eastAsia="zh-CN"/>
        </w:rPr>
        <w:t>签字。每月材料对账根据甲乙双方材料验收人员签字的单据进行汇总，对账汇总表甲乙双方须加盖公章及签名确认，甲方公章为项目部章，签名确认为项目经理，</w:t>
      </w:r>
      <w:r>
        <w:rPr>
          <w:rFonts w:hint="eastAsia" w:ascii="仿宋" w:eastAsia="仿宋"/>
          <w:color w:val="auto"/>
          <w:kern w:val="2"/>
          <w:sz w:val="24"/>
          <w:szCs w:val="24"/>
          <w:highlight w:val="none"/>
          <w:lang w:eastAsia="zh-CN"/>
        </w:rPr>
        <w:t>非上述人员签字盖章的，甲方不予认可</w:t>
      </w:r>
      <w:r>
        <w:rPr>
          <w:rFonts w:hint="eastAsia" w:ascii="仿宋" w:eastAsia="仿宋"/>
          <w:color w:val="auto"/>
          <w:kern w:val="2"/>
          <w:sz w:val="24"/>
          <w:szCs w:val="24"/>
          <w:highlight w:val="none"/>
          <w:lang w:val="zh-CN" w:eastAsia="zh-CN"/>
        </w:rPr>
        <w:t>。最终结算以双方签名加盖公章的汇总表为准。</w:t>
      </w:r>
    </w:p>
    <w:p w14:paraId="1B3D1947">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无论本合同其他条款约定的甲方向乙方支付货款的期限是否届满，甲方在收到业主支付的备料款（或工程款）前无义务向乙方垫付相应部分货款。</w:t>
      </w:r>
    </w:p>
    <w:p w14:paraId="68E23A6B">
      <w:pPr>
        <w:framePr w:wrap="auto" w:vAnchor="margin" w:hAnchor="text" w:yAlign="inline"/>
        <w:widowControl w:val="0"/>
        <w:spacing w:line="360" w:lineRule="auto"/>
        <w:ind w:firstLine="480" w:firstLineChars="200"/>
        <w:jc w:val="both"/>
        <w:rPr>
          <w:rFonts w:ascii="仿宋" w:eastAsia="仿宋"/>
          <w:strike w:val="0"/>
          <w:dstrike w:val="0"/>
          <w:color w:val="auto"/>
          <w:kern w:val="2"/>
          <w:sz w:val="24"/>
          <w:szCs w:val="24"/>
          <w:highlight w:val="none"/>
          <w:lang w:val="zh-CN" w:eastAsia="zh-CN"/>
        </w:rPr>
      </w:pPr>
      <w:r>
        <w:rPr>
          <w:rFonts w:hint="eastAsia" w:ascii="仿宋" w:eastAsia="仿宋"/>
          <w:strike w:val="0"/>
          <w:dstrike w:val="0"/>
          <w:color w:val="auto"/>
          <w:kern w:val="2"/>
          <w:sz w:val="24"/>
          <w:szCs w:val="24"/>
          <w:highlight w:val="none"/>
          <w:lang w:eastAsia="zh-CN"/>
        </w:rPr>
        <w:t>2</w:t>
      </w:r>
      <w:r>
        <w:rPr>
          <w:rFonts w:hint="eastAsia" w:ascii="仿宋" w:eastAsia="仿宋"/>
          <w:strike w:val="0"/>
          <w:dstrike w:val="0"/>
          <w:color w:val="auto"/>
          <w:kern w:val="2"/>
          <w:sz w:val="24"/>
          <w:szCs w:val="24"/>
          <w:highlight w:val="none"/>
          <w:lang w:val="en-US" w:eastAsia="zh-CN"/>
        </w:rPr>
        <w:t>.</w:t>
      </w:r>
      <w:r>
        <w:rPr>
          <w:rFonts w:hint="eastAsia" w:ascii="仿宋" w:eastAsia="仿宋"/>
          <w:strike w:val="0"/>
          <w:dstrike w:val="0"/>
          <w:color w:val="auto"/>
          <w:kern w:val="2"/>
          <w:sz w:val="24"/>
          <w:szCs w:val="24"/>
          <w:highlight w:val="none"/>
          <w:lang w:val="zh-CN" w:eastAsia="zh-CN"/>
        </w:rPr>
        <w:t>中期支付</w:t>
      </w:r>
    </w:p>
    <w:p w14:paraId="0F795462">
      <w:pPr>
        <w:framePr w:wrap="auto" w:vAnchor="margin" w:hAnchor="text" w:yAlign="inline"/>
        <w:widowControl w:val="0"/>
        <w:spacing w:line="360" w:lineRule="auto"/>
        <w:ind w:firstLine="480" w:firstLineChars="200"/>
        <w:jc w:val="both"/>
        <w:rPr>
          <w:rFonts w:hint="eastAsia" w:ascii="仿宋" w:eastAsia="仿宋"/>
          <w:strike w:val="0"/>
          <w:dstrike w:val="0"/>
          <w:color w:val="auto"/>
          <w:kern w:val="2"/>
          <w:sz w:val="24"/>
          <w:szCs w:val="24"/>
          <w:highlight w:val="none"/>
          <w:lang w:eastAsia="zh-CN"/>
        </w:rPr>
      </w:pPr>
      <w:r>
        <w:rPr>
          <w:rFonts w:hint="eastAsia" w:ascii="仿宋" w:eastAsia="仿宋"/>
          <w:strike w:val="0"/>
          <w:dstrike w:val="0"/>
          <w:color w:val="auto"/>
          <w:kern w:val="2"/>
          <w:sz w:val="24"/>
          <w:szCs w:val="24"/>
          <w:highlight w:val="none"/>
          <w:lang w:val="zh-CN" w:eastAsia="zh-CN"/>
        </w:rPr>
        <w:t>甲方每月</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u w:val="single"/>
          <w:lang w:val="en-US" w:eastAsia="zh-CN"/>
        </w:rPr>
        <w:t xml:space="preserve"> </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lang w:val="zh-CN" w:eastAsia="zh-CN"/>
        </w:rPr>
        <w:t>日前对乙方自上月</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u w:val="single"/>
          <w:lang w:val="en-US" w:eastAsia="zh-CN"/>
        </w:rPr>
        <w:t xml:space="preserve"> </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lang w:val="zh-CN" w:eastAsia="zh-CN"/>
        </w:rPr>
        <w:t>日至本月</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u w:val="single"/>
          <w:lang w:val="en-US" w:eastAsia="zh-CN"/>
        </w:rPr>
        <w:t xml:space="preserve">  </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lang w:val="zh-CN" w:eastAsia="zh-CN"/>
        </w:rPr>
        <w:t>日</w:t>
      </w:r>
      <w:r>
        <w:rPr>
          <w:rFonts w:hint="eastAsia" w:ascii="仿宋" w:eastAsia="仿宋"/>
          <w:strike w:val="0"/>
          <w:dstrike w:val="0"/>
          <w:color w:val="auto"/>
          <w:kern w:val="2"/>
          <w:sz w:val="24"/>
          <w:szCs w:val="24"/>
          <w:highlight w:val="none"/>
          <w:lang w:val="en-US" w:eastAsia="zh-CN"/>
        </w:rPr>
        <w:t>前</w:t>
      </w:r>
      <w:r>
        <w:rPr>
          <w:rFonts w:hint="eastAsia" w:ascii="仿宋" w:eastAsia="仿宋"/>
          <w:strike w:val="0"/>
          <w:dstrike w:val="0"/>
          <w:color w:val="auto"/>
          <w:kern w:val="2"/>
          <w:sz w:val="24"/>
          <w:szCs w:val="24"/>
          <w:highlight w:val="none"/>
          <w:lang w:val="zh-CN" w:eastAsia="zh-CN"/>
        </w:rPr>
        <w:t>完成的合格材料数量进行中间计量，</w:t>
      </w:r>
      <w:r>
        <w:rPr>
          <w:rFonts w:hint="eastAsia" w:ascii="仿宋" w:eastAsia="仿宋"/>
          <w:strike w:val="0"/>
          <w:dstrike w:val="0"/>
          <w:color w:val="auto"/>
          <w:kern w:val="2"/>
          <w:sz w:val="24"/>
          <w:szCs w:val="24"/>
          <w:highlight w:val="none"/>
          <w:lang w:eastAsia="zh-CN"/>
        </w:rPr>
        <w:t>由甲方根据自身资金情况及建设单位支付工程款</w:t>
      </w:r>
      <w:r>
        <w:rPr>
          <w:rFonts w:hint="eastAsia" w:ascii="仿宋" w:eastAsia="仿宋"/>
          <w:strike w:val="0"/>
          <w:dstrike w:val="0"/>
          <w:color w:val="auto"/>
          <w:kern w:val="2"/>
          <w:sz w:val="24"/>
          <w:szCs w:val="24"/>
          <w:highlight w:val="none"/>
          <w:lang w:val="zh-CN" w:eastAsia="zh-CN"/>
        </w:rPr>
        <w:t>情况</w:t>
      </w:r>
      <w:r>
        <w:rPr>
          <w:rFonts w:hint="eastAsia" w:ascii="仿宋" w:eastAsia="仿宋"/>
          <w:strike w:val="0"/>
          <w:dstrike w:val="0"/>
          <w:color w:val="auto"/>
          <w:kern w:val="2"/>
          <w:sz w:val="24"/>
          <w:szCs w:val="24"/>
          <w:highlight w:val="none"/>
          <w:lang w:eastAsia="zh-CN"/>
        </w:rPr>
        <w:t>扣减应扣费用后向乙方支付至完成应付款项费用的</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b/>
          <w:bCs/>
          <w:strike w:val="0"/>
          <w:dstrike w:val="0"/>
          <w:color w:val="auto"/>
          <w:kern w:val="2"/>
          <w:sz w:val="24"/>
          <w:szCs w:val="24"/>
          <w:highlight w:val="none"/>
          <w:u w:val="single"/>
          <w:lang w:val="en-US" w:eastAsia="zh-CN"/>
        </w:rPr>
        <w:t xml:space="preserve"> </w:t>
      </w:r>
      <w:r>
        <w:rPr>
          <w:rFonts w:hint="eastAsia" w:ascii="仿宋" w:eastAsia="仿宋"/>
          <w:strike w:val="0"/>
          <w:dstrike w:val="0"/>
          <w:color w:val="auto"/>
          <w:kern w:val="2"/>
          <w:sz w:val="24"/>
          <w:szCs w:val="24"/>
          <w:highlight w:val="none"/>
          <w:lang w:eastAsia="zh-CN"/>
        </w:rPr>
        <w:t>%</w:t>
      </w:r>
      <w:r>
        <w:rPr>
          <w:rFonts w:hint="eastAsia" w:ascii="仿宋" w:eastAsia="仿宋"/>
          <w:strike w:val="0"/>
          <w:dstrike w:val="0"/>
          <w:color w:val="auto"/>
          <w:kern w:val="2"/>
          <w:sz w:val="24"/>
          <w:szCs w:val="24"/>
          <w:highlight w:val="none"/>
          <w:lang w:val="zh-CN" w:eastAsia="zh-CN"/>
        </w:rPr>
        <w:t>。</w:t>
      </w:r>
    </w:p>
    <w:p w14:paraId="6FFD2D31">
      <w:pPr>
        <w:framePr w:wrap="auto" w:vAnchor="margin" w:hAnchor="text" w:yAlign="inline"/>
        <w:widowControl w:val="0"/>
        <w:spacing w:line="360" w:lineRule="auto"/>
        <w:ind w:firstLine="480" w:firstLineChars="200"/>
        <w:jc w:val="both"/>
        <w:rPr>
          <w:rFonts w:ascii="仿宋" w:eastAsia="仿宋"/>
          <w:strike w:val="0"/>
          <w:dstrike w:val="0"/>
          <w:color w:val="auto"/>
          <w:kern w:val="2"/>
          <w:sz w:val="24"/>
          <w:szCs w:val="24"/>
          <w:highlight w:val="none"/>
          <w:lang w:val="zh-CN" w:eastAsia="zh-CN"/>
        </w:rPr>
      </w:pPr>
      <w:r>
        <w:rPr>
          <w:rFonts w:hint="eastAsia" w:ascii="仿宋" w:eastAsia="仿宋"/>
          <w:strike w:val="0"/>
          <w:dstrike w:val="0"/>
          <w:color w:val="auto"/>
          <w:kern w:val="2"/>
          <w:sz w:val="24"/>
          <w:szCs w:val="24"/>
          <w:highlight w:val="none"/>
          <w:lang w:eastAsia="zh-CN"/>
        </w:rPr>
        <w:t>3</w:t>
      </w:r>
      <w:r>
        <w:rPr>
          <w:rFonts w:hint="eastAsia" w:ascii="仿宋" w:eastAsia="仿宋"/>
          <w:strike w:val="0"/>
          <w:dstrike w:val="0"/>
          <w:color w:val="auto"/>
          <w:kern w:val="2"/>
          <w:sz w:val="24"/>
          <w:szCs w:val="24"/>
          <w:highlight w:val="none"/>
          <w:lang w:val="en-US" w:eastAsia="zh-CN"/>
        </w:rPr>
        <w:t>.</w:t>
      </w:r>
      <w:r>
        <w:rPr>
          <w:rFonts w:hint="eastAsia" w:ascii="仿宋" w:eastAsia="仿宋"/>
          <w:strike w:val="0"/>
          <w:dstrike w:val="0"/>
          <w:color w:val="auto"/>
          <w:kern w:val="2"/>
          <w:sz w:val="24"/>
          <w:szCs w:val="24"/>
          <w:highlight w:val="none"/>
          <w:lang w:val="zh-CN" w:eastAsia="zh-CN"/>
        </w:rPr>
        <w:t>完工结算和支付</w:t>
      </w:r>
    </w:p>
    <w:p w14:paraId="7AB4DA88">
      <w:pPr>
        <w:framePr w:wrap="auto" w:vAnchor="margin" w:hAnchor="text" w:yAlign="inline"/>
        <w:widowControl w:val="0"/>
        <w:spacing w:line="360" w:lineRule="auto"/>
        <w:ind w:firstLine="480" w:firstLineChars="200"/>
        <w:jc w:val="both"/>
        <w:rPr>
          <w:rFonts w:hint="eastAsia" w:ascii="仿宋" w:eastAsia="仿宋"/>
          <w:strike w:val="0"/>
          <w:dstrike w:val="0"/>
          <w:color w:val="auto"/>
          <w:kern w:val="2"/>
          <w:sz w:val="24"/>
          <w:szCs w:val="24"/>
          <w:highlight w:val="none"/>
          <w:lang w:val="zh-CN" w:eastAsia="zh-CN"/>
        </w:rPr>
      </w:pPr>
      <w:r>
        <w:rPr>
          <w:rFonts w:hint="eastAsia" w:ascii="仿宋" w:eastAsia="仿宋"/>
          <w:strike w:val="0"/>
          <w:dstrike w:val="0"/>
          <w:color w:val="auto"/>
          <w:kern w:val="2"/>
          <w:sz w:val="24"/>
          <w:szCs w:val="24"/>
          <w:highlight w:val="none"/>
          <w:lang w:val="zh-CN" w:eastAsia="zh-CN"/>
        </w:rPr>
        <w:t>乙方供应完材料后，甲乙双方按本合同约定的单价和甲乙双方确认的实际材料数量进行最终结算，并签订结算协议。在甲方收到业主相应工程款的前提下，双方结算协议签订通过之日起的</w:t>
      </w:r>
      <w:r>
        <w:rPr>
          <w:rFonts w:hint="eastAsia" w:ascii="仿宋" w:eastAsia="仿宋"/>
          <w:strike w:val="0"/>
          <w:dstrike w:val="0"/>
          <w:color w:val="auto"/>
          <w:kern w:val="2"/>
          <w:sz w:val="24"/>
          <w:szCs w:val="24"/>
          <w:highlight w:val="none"/>
          <w:u w:val="single"/>
          <w:lang w:val="zh-CN" w:eastAsia="zh-CN"/>
        </w:rPr>
        <w:t xml:space="preserve">  </w:t>
      </w:r>
      <w:r>
        <w:rPr>
          <w:rFonts w:hint="eastAsia" w:ascii="仿宋" w:eastAsia="仿宋"/>
          <w:strike w:val="0"/>
          <w:dstrike w:val="0"/>
          <w:color w:val="auto"/>
          <w:kern w:val="2"/>
          <w:sz w:val="24"/>
          <w:szCs w:val="24"/>
          <w:highlight w:val="none"/>
          <w:u w:val="single"/>
          <w:lang w:val="en-US" w:eastAsia="zh-CN"/>
        </w:rPr>
        <w:t xml:space="preserve"> </w:t>
      </w:r>
      <w:r>
        <w:rPr>
          <w:rFonts w:hint="eastAsia" w:ascii="仿宋" w:eastAsia="仿宋"/>
          <w:strike w:val="0"/>
          <w:dstrike w:val="0"/>
          <w:color w:val="auto"/>
          <w:kern w:val="2"/>
          <w:sz w:val="24"/>
          <w:szCs w:val="24"/>
          <w:highlight w:val="none"/>
          <w:u w:val="single"/>
          <w:lang w:val="zh-CN" w:eastAsia="zh-CN"/>
        </w:rPr>
        <w:t xml:space="preserve"> </w:t>
      </w:r>
      <w:r>
        <w:rPr>
          <w:rFonts w:hint="eastAsia" w:ascii="仿宋" w:eastAsia="仿宋"/>
          <w:strike w:val="0"/>
          <w:dstrike w:val="0"/>
          <w:color w:val="auto"/>
          <w:kern w:val="2"/>
          <w:sz w:val="24"/>
          <w:szCs w:val="24"/>
          <w:highlight w:val="none"/>
          <w:lang w:val="zh-CN" w:eastAsia="zh-CN"/>
        </w:rPr>
        <w:t>天内，甲方向乙方支付除应扣款以外的剩余应付款项。</w:t>
      </w:r>
    </w:p>
    <w:p w14:paraId="06AB5023">
      <w:pPr>
        <w:framePr w:wrap="around" w:vAnchor="page" w:hAnchor="page" w:x="1896" w:y="3345"/>
        <w:widowControl w:val="0"/>
        <w:spacing w:after="0" w:line="360" w:lineRule="auto"/>
        <w:ind w:firstLine="480" w:firstLineChars="200"/>
        <w:jc w:val="both"/>
        <w:rPr>
          <w:rFonts w:hint="eastAsia" w:ascii="仿宋" w:hAnsi="Times New Roman" w:eastAsia="仿宋" w:cs="Times New Roman"/>
          <w:strike w:val="0"/>
          <w:dstrike w:val="0"/>
          <w:color w:val="auto"/>
          <w:kern w:val="2"/>
          <w:sz w:val="24"/>
          <w:szCs w:val="24"/>
          <w:highlight w:val="none"/>
          <w:lang w:val="en-US" w:eastAsia="zh-CN" w:bidi="ar-SA"/>
        </w:rPr>
      </w:pPr>
      <w:r>
        <w:rPr>
          <w:rFonts w:hint="eastAsia" w:ascii="仿宋" w:hAnsi="Times New Roman" w:eastAsia="仿宋" w:cs="Times New Roman"/>
          <w:strike w:val="0"/>
          <w:dstrike w:val="0"/>
          <w:color w:val="auto"/>
          <w:kern w:val="2"/>
          <w:sz w:val="24"/>
          <w:szCs w:val="24"/>
          <w:highlight w:val="none"/>
          <w:lang w:val="en-US" w:eastAsia="zh-CN" w:bidi="ar-SA"/>
        </w:rPr>
        <w:t>4.本合同涉及的所有计量支付、暂扣款项支付均由甲方支付到乙方在合同约定的银行账户，无特殊情况下，甲方不接受乙方提供的任何第三方收款银行账户或委托收款。</w:t>
      </w:r>
    </w:p>
    <w:p w14:paraId="2433250C">
      <w:pPr>
        <w:framePr w:wrap="auto" w:vAnchor="margin" w:hAnchor="text" w:yAlign="inline"/>
        <w:widowControl w:val="0"/>
        <w:spacing w:line="360" w:lineRule="auto"/>
        <w:ind w:firstLine="480" w:firstLineChars="200"/>
        <w:jc w:val="both"/>
        <w:rPr>
          <w:rFonts w:hint="eastAsia" w:ascii="仿宋" w:eastAsia="仿宋"/>
          <w:strike w:val="0"/>
          <w:dstrike w:val="0"/>
          <w:color w:val="auto"/>
          <w:kern w:val="2"/>
          <w:sz w:val="24"/>
          <w:szCs w:val="24"/>
          <w:highlight w:val="none"/>
          <w:lang w:eastAsia="zh-CN"/>
        </w:rPr>
      </w:pPr>
      <w:r>
        <w:rPr>
          <w:rFonts w:hint="eastAsia" w:ascii="仿宋" w:eastAsia="仿宋"/>
          <w:strike w:val="0"/>
          <w:dstrike w:val="0"/>
          <w:color w:val="auto"/>
          <w:kern w:val="2"/>
          <w:sz w:val="24"/>
          <w:szCs w:val="24"/>
          <w:highlight w:val="none"/>
          <w:lang w:eastAsia="zh-CN"/>
        </w:rPr>
        <w:t>乙方同意甲方根据管理需要选择银行转账方式支付计量款项。</w:t>
      </w:r>
    </w:p>
    <w:p w14:paraId="4B792B41">
      <w:pPr>
        <w:framePr w:wrap="auto" w:vAnchor="margin" w:hAnchor="text" w:yAlign="inline"/>
        <w:widowControl w:val="0"/>
        <w:spacing w:line="360" w:lineRule="auto"/>
        <w:ind w:firstLine="480" w:firstLineChars="200"/>
        <w:jc w:val="both"/>
        <w:rPr>
          <w:rFonts w:hint="eastAsia" w:ascii="仿宋" w:eastAsia="仿宋"/>
          <w:strike w:val="0"/>
          <w:dstrike w:val="0"/>
          <w:color w:val="auto"/>
          <w:kern w:val="2"/>
          <w:sz w:val="24"/>
          <w:szCs w:val="24"/>
          <w:highlight w:val="none"/>
          <w:lang w:eastAsia="zh-CN"/>
        </w:rPr>
      </w:pPr>
      <w:r>
        <w:rPr>
          <w:rFonts w:hint="eastAsia" w:ascii="仿宋" w:eastAsia="仿宋"/>
          <w:strike w:val="0"/>
          <w:dstrike w:val="0"/>
          <w:color w:val="auto"/>
          <w:kern w:val="2"/>
          <w:sz w:val="24"/>
          <w:szCs w:val="24"/>
          <w:highlight w:val="none"/>
          <w:lang w:val="en-US" w:eastAsia="zh-CN"/>
        </w:rPr>
        <w:t>5.</w:t>
      </w:r>
      <w:r>
        <w:rPr>
          <w:rFonts w:hint="eastAsia" w:ascii="仿宋" w:eastAsia="仿宋"/>
          <w:strike w:val="0"/>
          <w:dstrike w:val="0"/>
          <w:color w:val="auto"/>
          <w:kern w:val="2"/>
          <w:sz w:val="24"/>
          <w:szCs w:val="24"/>
          <w:highlight w:val="none"/>
          <w:lang w:eastAsia="zh-CN"/>
        </w:rPr>
        <w:t>乙方至少应有</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u w:val="single"/>
          <w:lang w:val="en-US" w:eastAsia="zh-CN"/>
        </w:rPr>
        <w:t xml:space="preserve"> </w:t>
      </w:r>
      <w:r>
        <w:rPr>
          <w:rFonts w:hint="eastAsia" w:ascii="仿宋" w:eastAsia="仿宋"/>
          <w:strike w:val="0"/>
          <w:dstrike w:val="0"/>
          <w:color w:val="auto"/>
          <w:kern w:val="2"/>
          <w:sz w:val="24"/>
          <w:szCs w:val="24"/>
          <w:highlight w:val="none"/>
          <w:u w:val="single"/>
          <w:lang w:eastAsia="zh-CN"/>
        </w:rPr>
        <w:t xml:space="preserve"> </w:t>
      </w:r>
      <w:r>
        <w:rPr>
          <w:rFonts w:hint="eastAsia" w:ascii="仿宋" w:eastAsia="仿宋"/>
          <w:strike w:val="0"/>
          <w:dstrike w:val="0"/>
          <w:color w:val="auto"/>
          <w:kern w:val="2"/>
          <w:sz w:val="24"/>
          <w:szCs w:val="24"/>
          <w:highlight w:val="none"/>
          <w:lang w:eastAsia="zh-CN"/>
        </w:rPr>
        <w:t>万元以上的垫付能力，以确保甲方资金周转困难时，乙方能保证</w:t>
      </w:r>
      <w:r>
        <w:rPr>
          <w:rFonts w:hint="eastAsia" w:ascii="仿宋" w:eastAsia="仿宋"/>
          <w:strike w:val="0"/>
          <w:dstrike w:val="0"/>
          <w:color w:val="auto"/>
          <w:kern w:val="2"/>
          <w:sz w:val="24"/>
          <w:szCs w:val="24"/>
          <w:highlight w:val="none"/>
          <w:lang w:val="en-US" w:eastAsia="zh-CN"/>
        </w:rPr>
        <w:t>材料</w:t>
      </w:r>
      <w:r>
        <w:rPr>
          <w:rFonts w:hint="eastAsia" w:ascii="仿宋" w:eastAsia="仿宋"/>
          <w:strike w:val="0"/>
          <w:dstrike w:val="0"/>
          <w:color w:val="auto"/>
          <w:kern w:val="2"/>
          <w:sz w:val="24"/>
          <w:szCs w:val="24"/>
          <w:highlight w:val="none"/>
          <w:lang w:eastAsia="zh-CN"/>
        </w:rPr>
        <w:t>的正常供应。</w:t>
      </w:r>
    </w:p>
    <w:p w14:paraId="6C947173">
      <w:pPr>
        <w:framePr w:wrap="around" w:vAnchor="page" w:hAnchor="page" w:x="1743" w:y="6192"/>
        <w:widowControl w:val="0"/>
        <w:spacing w:after="0" w:line="360" w:lineRule="auto"/>
        <w:ind w:firstLine="480" w:firstLineChars="200"/>
        <w:jc w:val="both"/>
        <w:rPr>
          <w:rFonts w:hint="eastAsia" w:ascii="仿宋" w:hAnsi="Times New Roman" w:eastAsia="仿宋" w:cs="Times New Roman"/>
          <w:color w:val="auto"/>
          <w:kern w:val="2"/>
          <w:sz w:val="24"/>
          <w:szCs w:val="24"/>
          <w:highlight w:val="none"/>
          <w:lang w:val="en-US" w:eastAsia="zh-CN" w:bidi="ar-SA"/>
        </w:rPr>
      </w:pPr>
      <w:r>
        <w:rPr>
          <w:rFonts w:hint="eastAsia" w:ascii="仿宋" w:hAnsi="Times New Roman" w:eastAsia="仿宋" w:cs="Times New Roman"/>
          <w:color w:val="auto"/>
          <w:kern w:val="2"/>
          <w:sz w:val="24"/>
          <w:szCs w:val="24"/>
          <w:highlight w:val="none"/>
          <w:lang w:val="en-US" w:eastAsia="zh-CN" w:bidi="ar-SA"/>
        </w:rPr>
        <w:t>6.发票的提供</w:t>
      </w:r>
    </w:p>
    <w:p w14:paraId="70E54777">
      <w:pPr>
        <w:framePr w:wrap="around" w:vAnchor="page" w:hAnchor="page" w:x="1743" w:y="6192"/>
        <w:widowControl w:val="0"/>
        <w:spacing w:after="0" w:line="360" w:lineRule="auto"/>
        <w:ind w:firstLine="480" w:firstLineChars="200"/>
        <w:jc w:val="both"/>
        <w:rPr>
          <w:rFonts w:ascii="仿宋" w:hAnsi="Times New Roman" w:eastAsia="仿宋" w:cs="Times New Roman"/>
          <w:color w:val="auto"/>
          <w:kern w:val="2"/>
          <w:sz w:val="24"/>
          <w:szCs w:val="24"/>
          <w:highlight w:val="none"/>
          <w:lang w:val="en-US" w:eastAsia="zh-CN" w:bidi="ar-SA"/>
        </w:rPr>
      </w:pPr>
      <w:r>
        <w:rPr>
          <w:rFonts w:hint="eastAsia" w:ascii="仿宋" w:hAnsi="Times New Roman" w:eastAsia="仿宋" w:cs="Times New Roman"/>
          <w:color w:val="auto"/>
          <w:kern w:val="2"/>
          <w:sz w:val="24"/>
          <w:szCs w:val="24"/>
          <w:highlight w:val="none"/>
          <w:lang w:val="en-US" w:eastAsia="zh-CN" w:bidi="ar-SA"/>
        </w:rPr>
        <w:t>(1)乙方应在每期结算确认后，在甲方资金支付前，根据合同内容和结算书内容向甲方出具相应增值税专用发票。以上条件不满足时，乙方不得向甲方申请支付款项，甲方有权停止支付且由乙方自身承担资金风险。</w:t>
      </w:r>
    </w:p>
    <w:p w14:paraId="4E832403">
      <w:pPr>
        <w:framePr w:wrap="auto" w:vAnchor="margin" w:hAnchor="text" w:yAlign="inline"/>
        <w:widowControl w:val="0"/>
        <w:spacing w:line="360" w:lineRule="auto"/>
        <w:ind w:firstLine="480" w:firstLineChars="200"/>
        <w:jc w:val="both"/>
        <w:rPr>
          <w:rFonts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(2)乙方出具发票需同时满足以下原则：</w:t>
      </w:r>
    </w:p>
    <w:p w14:paraId="1DFB3502">
      <w:pPr>
        <w:framePr w:wrap="auto" w:vAnchor="margin" w:hAnchor="text" w:yAlign="inline"/>
        <w:widowControl w:val="0"/>
        <w:spacing w:line="360" w:lineRule="auto"/>
        <w:ind w:firstLine="720" w:firstLineChars="300"/>
        <w:jc w:val="both"/>
        <w:rPr>
          <w:rFonts w:ascii="仿宋" w:eastAsia="仿宋"/>
          <w:color w:val="auto"/>
          <w:kern w:val="2"/>
          <w:sz w:val="24"/>
          <w:szCs w:val="24"/>
          <w:highlight w:val="none"/>
          <w:lang w:val="zh-CN" w:eastAsia="zh-CN"/>
        </w:rPr>
      </w:pPr>
      <w:r>
        <w:rPr>
          <w:rFonts w:ascii="仿宋" w:eastAsia="仿宋" w:cs="Times New Roman"/>
          <w:color w:val="auto"/>
          <w:kern w:val="2"/>
          <w:sz w:val="24"/>
          <w:szCs w:val="24"/>
          <w:highlight w:val="none"/>
          <w:lang w:val="zh-CN" w:eastAsia="zh-CN"/>
        </w:rPr>
        <w:t>①</w:t>
      </w:r>
      <w:r>
        <w:rPr>
          <w:rFonts w:hint="eastAsia" w:ascii="仿宋" w:eastAsia="仿宋"/>
          <w:color w:val="auto"/>
          <w:kern w:val="2"/>
          <w:sz w:val="24"/>
          <w:szCs w:val="24"/>
          <w:highlight w:val="none"/>
          <w:lang w:val="zh-CN" w:eastAsia="zh-CN"/>
        </w:rPr>
        <w:t>发票金额</w:t>
      </w:r>
    </w:p>
    <w:p w14:paraId="12A6198F">
      <w:pPr>
        <w:framePr w:wrap="auto" w:vAnchor="margin" w:hAnchor="text" w:yAlign="inline"/>
        <w:widowControl w:val="0"/>
        <w:spacing w:line="360" w:lineRule="auto"/>
        <w:ind w:firstLine="480" w:firstLineChars="200"/>
        <w:jc w:val="both"/>
        <w:rPr>
          <w:rFonts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乙方向甲方开具发票的金额需严格依据“累计确认结算量与资金支付量孰高原则”。</w:t>
      </w:r>
    </w:p>
    <w:p w14:paraId="2FE5257B">
      <w:pPr>
        <w:framePr w:wrap="auto" w:vAnchor="margin" w:hAnchor="text" w:yAlign="inline"/>
        <w:widowControl w:val="0"/>
        <w:spacing w:line="360" w:lineRule="auto"/>
        <w:ind w:firstLine="720" w:firstLineChars="300"/>
        <w:jc w:val="both"/>
        <w:rPr>
          <w:rFonts w:hint="eastAsia" w:ascii="仿宋" w:eastAsia="仿宋"/>
          <w:color w:val="auto"/>
          <w:kern w:val="2"/>
          <w:sz w:val="24"/>
          <w:szCs w:val="24"/>
          <w:highlight w:val="none"/>
          <w:lang w:eastAsia="zh-CN"/>
        </w:rPr>
      </w:pPr>
      <w:r>
        <w:rPr>
          <w:rFonts w:ascii="仿宋" w:eastAsia="仿宋" w:cs="Times New Roman"/>
          <w:color w:val="auto"/>
          <w:kern w:val="2"/>
          <w:sz w:val="24"/>
          <w:szCs w:val="24"/>
          <w:highlight w:val="none"/>
          <w:lang w:val="zh-CN" w:eastAsia="zh-CN"/>
        </w:rPr>
        <w:t>②</w:t>
      </w:r>
      <w:r>
        <w:rPr>
          <w:rFonts w:hint="eastAsia" w:ascii="仿宋" w:eastAsia="仿宋"/>
          <w:color w:val="auto"/>
          <w:kern w:val="2"/>
          <w:sz w:val="24"/>
          <w:szCs w:val="24"/>
          <w:highlight w:val="none"/>
          <w:lang w:eastAsia="zh-CN"/>
        </w:rPr>
        <w:t>票面信息</w:t>
      </w:r>
    </w:p>
    <w:p w14:paraId="11B313BB">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eastAsia="zh-CN"/>
        </w:rPr>
        <w:t>发票票面记载信息需符合“四流一致”原则，包括：</w:t>
      </w:r>
      <w:r>
        <w:rPr>
          <w:rFonts w:hint="eastAsia" w:ascii="仿宋" w:eastAsia="仿宋"/>
          <w:color w:val="auto"/>
          <w:kern w:val="2"/>
          <w:sz w:val="24"/>
          <w:szCs w:val="24"/>
          <w:highlight w:val="none"/>
          <w:lang w:val="en-US" w:eastAsia="zh-CN"/>
        </w:rPr>
        <w:t>A.</w:t>
      </w:r>
      <w:r>
        <w:rPr>
          <w:rFonts w:hint="eastAsia" w:ascii="仿宋" w:eastAsia="仿宋"/>
          <w:color w:val="auto"/>
          <w:kern w:val="2"/>
          <w:sz w:val="24"/>
          <w:szCs w:val="24"/>
          <w:highlight w:val="none"/>
          <w:lang w:eastAsia="zh-CN"/>
        </w:rPr>
        <w:t>销售方信息需与货物或应税劳务、服务实际提供单位（即乙方）一致，并与实际收款人（即乙方）一致；</w:t>
      </w:r>
      <w:r>
        <w:rPr>
          <w:rFonts w:hint="eastAsia" w:ascii="仿宋" w:eastAsia="仿宋"/>
          <w:color w:val="auto"/>
          <w:kern w:val="2"/>
          <w:sz w:val="24"/>
          <w:szCs w:val="24"/>
          <w:highlight w:val="none"/>
          <w:lang w:val="en-US" w:eastAsia="zh-CN"/>
        </w:rPr>
        <w:t>B.</w:t>
      </w:r>
      <w:r>
        <w:rPr>
          <w:rFonts w:hint="eastAsia" w:ascii="仿宋" w:eastAsia="仿宋"/>
          <w:color w:val="auto"/>
          <w:kern w:val="2"/>
          <w:sz w:val="24"/>
          <w:szCs w:val="24"/>
          <w:highlight w:val="none"/>
          <w:lang w:eastAsia="zh-CN"/>
        </w:rPr>
        <w:t>货物或应税劳务、服务名称等需与实际业务内容一致；</w:t>
      </w:r>
      <w:r>
        <w:rPr>
          <w:rFonts w:hint="eastAsia" w:ascii="仿宋" w:eastAsia="仿宋"/>
          <w:color w:val="auto"/>
          <w:kern w:val="2"/>
          <w:sz w:val="24"/>
          <w:szCs w:val="24"/>
          <w:highlight w:val="none"/>
          <w:lang w:val="en-US" w:eastAsia="zh-CN"/>
        </w:rPr>
        <w:t>C.</w:t>
      </w:r>
      <w:r>
        <w:rPr>
          <w:rFonts w:hint="eastAsia" w:ascii="仿宋" w:eastAsia="仿宋"/>
          <w:color w:val="auto"/>
          <w:kern w:val="2"/>
          <w:sz w:val="24"/>
          <w:szCs w:val="24"/>
          <w:highlight w:val="none"/>
          <w:lang w:eastAsia="zh-CN"/>
        </w:rPr>
        <w:t>税率、税额信息与本合同单列的增值税税率、税额一致；</w:t>
      </w:r>
      <w:r>
        <w:rPr>
          <w:rFonts w:hint="eastAsia" w:ascii="仿宋" w:eastAsia="仿宋"/>
          <w:color w:val="auto"/>
          <w:kern w:val="2"/>
          <w:sz w:val="24"/>
          <w:szCs w:val="24"/>
          <w:highlight w:val="none"/>
          <w:lang w:val="en-US" w:eastAsia="zh-CN"/>
        </w:rPr>
        <w:t>D.</w:t>
      </w:r>
      <w:r>
        <w:rPr>
          <w:rFonts w:hint="eastAsia" w:ascii="仿宋" w:eastAsia="仿宋"/>
          <w:color w:val="auto"/>
          <w:kern w:val="2"/>
          <w:sz w:val="24"/>
          <w:szCs w:val="24"/>
          <w:highlight w:val="none"/>
          <w:lang w:eastAsia="zh-CN"/>
        </w:rPr>
        <w:t>发票类别（增值税专用发票或普通发票）与本项目的计税方法（一般计税方法或简易计税方法）匹配。</w:t>
      </w:r>
    </w:p>
    <w:p w14:paraId="43892024">
      <w:pPr>
        <w:framePr w:wrap="around" w:vAnchor="page" w:hAnchor="page" w:x="2011" w:y="13254"/>
        <w:widowControl w:val="0"/>
        <w:spacing w:after="0" w:line="360" w:lineRule="auto"/>
        <w:ind w:firstLine="480" w:firstLineChars="200"/>
        <w:jc w:val="both"/>
        <w:rPr>
          <w:rFonts w:hint="eastAsia" w:ascii="仿宋" w:hAnsi="Times New Roman" w:eastAsia="仿宋" w:cs="Times New Roman"/>
          <w:color w:val="auto"/>
          <w:kern w:val="2"/>
          <w:sz w:val="24"/>
          <w:szCs w:val="24"/>
          <w:highlight w:val="none"/>
          <w:lang w:val="en-US" w:eastAsia="zh-CN" w:bidi="ar-SA"/>
        </w:rPr>
      </w:pPr>
      <w:r>
        <w:rPr>
          <w:rFonts w:hint="eastAsia" w:ascii="仿宋" w:hAnsi="Times New Roman" w:eastAsia="仿宋" w:cs="Times New Roman"/>
          <w:color w:val="auto"/>
          <w:kern w:val="2"/>
          <w:sz w:val="24"/>
          <w:szCs w:val="24"/>
          <w:highlight w:val="none"/>
          <w:lang w:val="en-US" w:eastAsia="zh-CN" w:bidi="ar-SA"/>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利益受损的，全部损失由乙方承担。</w:t>
      </w:r>
    </w:p>
    <w:p w14:paraId="411FC703">
      <w:pPr>
        <w:framePr w:wrap="auto" w:vAnchor="margin" w:hAnchor="text" w:yAlign="inline"/>
        <w:widowControl w:val="0"/>
        <w:spacing w:line="360" w:lineRule="auto"/>
        <w:ind w:firstLine="480" w:firstLineChars="200"/>
        <w:jc w:val="both"/>
        <w:rPr>
          <w:rFonts w:ascii="仿宋" w:eastAsia="仿宋"/>
          <w:color w:val="auto"/>
          <w:kern w:val="2"/>
          <w:sz w:val="24"/>
          <w:szCs w:val="24"/>
          <w:highlight w:val="none"/>
          <w:lang w:eastAsia="zh-CN"/>
        </w:rPr>
      </w:pPr>
      <w:r>
        <w:rPr>
          <w:rFonts w:hint="eastAsia" w:ascii="仿宋" w:eastAsia="仿宋"/>
          <w:color w:val="auto"/>
          <w:kern w:val="2"/>
          <w:sz w:val="24"/>
          <w:szCs w:val="24"/>
          <w:highlight w:val="none"/>
          <w:lang w:val="zh-CN" w:eastAsia="zh-CN"/>
        </w:rPr>
        <w:t>(3)</w:t>
      </w:r>
      <w:r>
        <w:rPr>
          <w:rFonts w:hint="eastAsia" w:ascii="仿宋" w:eastAsia="仿宋"/>
          <w:color w:val="auto"/>
          <w:kern w:val="2"/>
          <w:sz w:val="24"/>
          <w:szCs w:val="24"/>
          <w:highlight w:val="none"/>
          <w:lang w:eastAsia="zh-CN"/>
        </w:rPr>
        <w:t>发票提供的责任</w:t>
      </w:r>
    </w:p>
    <w:p w14:paraId="3FD43362">
      <w:pPr>
        <w:framePr w:wrap="auto" w:vAnchor="margin" w:hAnchor="text" w:yAlign="inline"/>
        <w:widowControl w:val="0"/>
        <w:spacing w:line="360" w:lineRule="auto"/>
        <w:ind w:firstLine="480" w:firstLineChars="200"/>
        <w:jc w:val="left"/>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乙方提供的发票被税务机关通知存在失联状况、异常状况、虚开发票、进项转出等情况的，按以下三项同时处理：</w:t>
      </w:r>
      <w:r>
        <w:rPr>
          <w:rFonts w:ascii="仿宋" w:eastAsia="仿宋"/>
          <w:color w:val="auto"/>
          <w:kern w:val="2"/>
          <w:sz w:val="24"/>
          <w:szCs w:val="24"/>
          <w:highlight w:val="none"/>
          <w:lang w:eastAsia="zh-CN"/>
        </w:rPr>
        <w:t>①</w:t>
      </w:r>
      <w:r>
        <w:rPr>
          <w:rFonts w:hint="eastAsia" w:ascii="仿宋" w:eastAsia="仿宋"/>
          <w:color w:val="auto"/>
          <w:kern w:val="2"/>
          <w:sz w:val="24"/>
          <w:szCs w:val="24"/>
          <w:highlight w:val="none"/>
          <w:lang w:eastAsia="zh-CN"/>
        </w:rPr>
        <w:t>对应进项税额立即转出，并赔偿相应税款；</w:t>
      </w:r>
      <w:r>
        <w:rPr>
          <w:rFonts w:ascii="仿宋" w:eastAsia="仿宋"/>
          <w:color w:val="auto"/>
          <w:kern w:val="2"/>
          <w:sz w:val="24"/>
          <w:szCs w:val="24"/>
          <w:highlight w:val="none"/>
          <w:lang w:val="en-US" w:eastAsia="zh-CN"/>
        </w:rPr>
        <w:t>②</w:t>
      </w:r>
      <w:r>
        <w:rPr>
          <w:rFonts w:hint="eastAsia" w:ascii="仿宋" w:eastAsia="仿宋"/>
          <w:color w:val="auto"/>
          <w:kern w:val="2"/>
          <w:sz w:val="24"/>
          <w:szCs w:val="24"/>
          <w:highlight w:val="none"/>
          <w:lang w:eastAsia="zh-CN"/>
        </w:rPr>
        <w:t>成本全额转出，相应款项已支付的，需全额追回或扣留相同金额款项；未支付的，不再予以支付；</w:t>
      </w:r>
      <w:r>
        <w:rPr>
          <w:rFonts w:ascii="仿宋" w:eastAsia="仿宋"/>
          <w:color w:val="auto"/>
          <w:kern w:val="2"/>
          <w:sz w:val="24"/>
          <w:szCs w:val="24"/>
          <w:highlight w:val="none"/>
          <w:lang w:val="en-US" w:eastAsia="zh-CN"/>
        </w:rPr>
        <w:t>③</w:t>
      </w:r>
      <w:r>
        <w:rPr>
          <w:rFonts w:hint="eastAsia" w:ascii="仿宋" w:eastAsia="仿宋"/>
          <w:color w:val="auto"/>
          <w:kern w:val="2"/>
          <w:sz w:val="24"/>
          <w:szCs w:val="24"/>
          <w:highlight w:val="none"/>
          <w:lang w:val="en-US" w:eastAsia="zh-CN"/>
        </w:rPr>
        <w:t>赔偿</w:t>
      </w:r>
      <w:r>
        <w:rPr>
          <w:rFonts w:hint="eastAsia" w:ascii="仿宋" w:eastAsia="仿宋"/>
          <w:color w:val="auto"/>
          <w:kern w:val="2"/>
          <w:sz w:val="24"/>
          <w:szCs w:val="24"/>
          <w:highlight w:val="none"/>
          <w:lang w:eastAsia="zh-CN"/>
        </w:rPr>
        <w:t>相应进项税额3倍的</w:t>
      </w:r>
      <w:r>
        <w:rPr>
          <w:rFonts w:hint="eastAsia" w:ascii="仿宋" w:eastAsia="仿宋"/>
          <w:color w:val="auto"/>
          <w:kern w:val="2"/>
          <w:sz w:val="24"/>
          <w:szCs w:val="24"/>
          <w:highlight w:val="none"/>
          <w:lang w:val="en-US" w:eastAsia="zh-CN"/>
        </w:rPr>
        <w:t>违约金</w:t>
      </w:r>
      <w:r>
        <w:rPr>
          <w:rFonts w:hint="eastAsia" w:ascii="仿宋" w:eastAsia="仿宋"/>
          <w:color w:val="auto"/>
          <w:kern w:val="2"/>
          <w:sz w:val="24"/>
          <w:szCs w:val="24"/>
          <w:highlight w:val="none"/>
          <w:lang w:eastAsia="zh-CN"/>
        </w:rPr>
        <w:t>。</w:t>
      </w:r>
    </w:p>
    <w:p w14:paraId="7D9B4688">
      <w:pPr>
        <w:framePr w:wrap="auto" w:vAnchor="margin" w:hAnchor="text" w:yAlign="inline"/>
        <w:widowControl w:val="0"/>
        <w:spacing w:line="360" w:lineRule="auto"/>
        <w:ind w:firstLine="482" w:firstLineChars="200"/>
        <w:jc w:val="left"/>
        <w:rPr>
          <w:rFonts w:hint="eastAsia" w:ascii="仿宋" w:eastAsia="仿宋"/>
          <w:b/>
          <w:bCs/>
          <w:color w:val="auto"/>
          <w:kern w:val="2"/>
          <w:sz w:val="24"/>
          <w:szCs w:val="24"/>
          <w:highlight w:val="none"/>
          <w:lang w:val="zh-CN" w:eastAsia="zh-CN"/>
        </w:rPr>
      </w:pPr>
      <w:r>
        <w:rPr>
          <w:rFonts w:hint="eastAsia" w:ascii="仿宋" w:eastAsia="仿宋"/>
          <w:b/>
          <w:bCs/>
          <w:color w:val="auto"/>
          <w:kern w:val="2"/>
          <w:sz w:val="24"/>
          <w:szCs w:val="24"/>
          <w:highlight w:val="none"/>
          <w:lang w:eastAsia="zh-CN"/>
        </w:rPr>
        <w:t>七</w:t>
      </w:r>
      <w:r>
        <w:rPr>
          <w:rFonts w:hint="eastAsia" w:ascii="仿宋" w:eastAsia="仿宋"/>
          <w:b/>
          <w:bCs/>
          <w:color w:val="auto"/>
          <w:kern w:val="2"/>
          <w:sz w:val="24"/>
          <w:szCs w:val="24"/>
          <w:highlight w:val="none"/>
          <w:lang w:val="zh-CN" w:eastAsia="zh-CN"/>
        </w:rPr>
        <w:t>、违约责任</w:t>
      </w:r>
    </w:p>
    <w:p w14:paraId="6D7F3A12">
      <w:pPr>
        <w:framePr w:wrap="auto" w:vAnchor="margin" w:hAnchor="text" w:yAlign="inline"/>
        <w:widowControl w:val="0"/>
        <w:tabs>
          <w:tab w:val="left" w:pos="0"/>
        </w:tabs>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甲方不按本合同约定上报材料使用计划、不按本合同约定收料（含卸车不及时、便道不畅通和仓库容量不足）所造成的损失由甲方</w:t>
      </w:r>
      <w:r>
        <w:rPr>
          <w:rFonts w:hint="eastAsia" w:ascii="仿宋" w:eastAsia="仿宋"/>
          <w:color w:val="auto"/>
          <w:kern w:val="2"/>
          <w:sz w:val="24"/>
          <w:szCs w:val="24"/>
          <w:highlight w:val="none"/>
          <w:lang w:eastAsia="zh-CN"/>
        </w:rPr>
        <w:t>自行</w:t>
      </w:r>
      <w:r>
        <w:rPr>
          <w:rFonts w:hint="eastAsia" w:ascii="仿宋" w:eastAsia="仿宋"/>
          <w:color w:val="auto"/>
          <w:kern w:val="2"/>
          <w:sz w:val="24"/>
          <w:szCs w:val="24"/>
          <w:highlight w:val="none"/>
          <w:lang w:val="zh-CN" w:eastAsia="zh-CN"/>
        </w:rPr>
        <w:t>承担。</w:t>
      </w:r>
    </w:p>
    <w:p w14:paraId="557B6996">
      <w:pPr>
        <w:framePr w:wrap="auto" w:vAnchor="margin" w:hAnchor="text" w:yAlign="inline"/>
        <w:widowControl w:val="0"/>
        <w:tabs>
          <w:tab w:val="left" w:pos="0"/>
        </w:tabs>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如因甲方原因致使货款未能及时支付给乙方，乙方不承担因停工待料而造成的损失。</w:t>
      </w:r>
    </w:p>
    <w:p w14:paraId="1AEF74F7">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val="en-US" w:eastAsia="zh-CN"/>
        </w:rPr>
        <w:t>3.</w:t>
      </w:r>
      <w:r>
        <w:rPr>
          <w:rFonts w:ascii="仿宋" w:eastAsia="仿宋"/>
          <w:color w:val="auto"/>
          <w:kern w:val="2"/>
          <w:sz w:val="24"/>
          <w:szCs w:val="24"/>
          <w:highlight w:val="none"/>
          <w:lang w:val="en-US" w:eastAsia="zh-CN"/>
        </w:rPr>
        <w:t>甲方对单一桩长大量使用时，需提前下生产计划给予乙方所需时间生产，</w:t>
      </w:r>
      <w:r>
        <w:rPr>
          <w:rFonts w:hint="eastAsia" w:ascii="仿宋" w:eastAsia="仿宋"/>
          <w:color w:val="auto"/>
          <w:kern w:val="2"/>
          <w:sz w:val="24"/>
          <w:szCs w:val="24"/>
          <w:highlight w:val="none"/>
          <w:lang w:val="zh-CN" w:eastAsia="zh-CN"/>
        </w:rPr>
        <w:t>乙方</w:t>
      </w:r>
      <w:r>
        <w:rPr>
          <w:rFonts w:hint="eastAsia" w:ascii="仿宋" w:eastAsia="仿宋"/>
          <w:color w:val="auto"/>
          <w:kern w:val="2"/>
          <w:sz w:val="24"/>
          <w:szCs w:val="24"/>
          <w:highlight w:val="none"/>
          <w:lang w:eastAsia="zh-CN"/>
        </w:rPr>
        <w:t>逾期交货的，按每日相当于逾期货品价值</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eastAsia="zh-CN"/>
        </w:rPr>
        <w:t>‰</w:t>
      </w:r>
      <w:r>
        <w:rPr>
          <w:rFonts w:hint="eastAsia" w:ascii="仿宋" w:eastAsia="仿宋"/>
          <w:color w:val="auto"/>
          <w:kern w:val="2"/>
          <w:sz w:val="24"/>
          <w:szCs w:val="24"/>
          <w:highlight w:val="none"/>
          <w:lang w:eastAsia="zh-CN"/>
        </w:rPr>
        <w:t>的标准向甲方支付违约金。</w:t>
      </w:r>
    </w:p>
    <w:p w14:paraId="7B407308">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val="en-US" w:eastAsia="zh-CN"/>
        </w:rPr>
        <w:t>4.</w:t>
      </w:r>
      <w:r>
        <w:rPr>
          <w:rFonts w:hint="eastAsia" w:ascii="仿宋" w:eastAsia="仿宋"/>
          <w:color w:val="auto"/>
          <w:kern w:val="2"/>
          <w:sz w:val="24"/>
          <w:szCs w:val="24"/>
          <w:highlight w:val="none"/>
          <w:lang w:eastAsia="zh-CN"/>
        </w:rPr>
        <w:t>如乙方违约致使合同解除的，乙方必须按甲方要求退场，甲方有权要求乙方支付本合同暂定总价的</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u w:val="single"/>
          <w:lang w:eastAsia="zh-CN"/>
        </w:rPr>
        <w:t>%</w:t>
      </w:r>
      <w:r>
        <w:rPr>
          <w:rFonts w:hint="eastAsia" w:ascii="仿宋" w:eastAsia="仿宋"/>
          <w:color w:val="auto"/>
          <w:kern w:val="2"/>
          <w:sz w:val="24"/>
          <w:szCs w:val="24"/>
          <w:highlight w:val="none"/>
          <w:lang w:eastAsia="zh-CN"/>
        </w:rPr>
        <w:t>作为违约金。</w:t>
      </w:r>
    </w:p>
    <w:p w14:paraId="32B874AB">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val="en-US" w:eastAsia="zh-CN"/>
        </w:rPr>
        <w:t>5.</w:t>
      </w:r>
      <w:r>
        <w:rPr>
          <w:rFonts w:hint="eastAsia" w:ascii="仿宋" w:eastAsia="仿宋"/>
          <w:color w:val="auto"/>
          <w:kern w:val="2"/>
          <w:sz w:val="24"/>
          <w:szCs w:val="24"/>
          <w:highlight w:val="none"/>
          <w:lang w:eastAsia="zh-CN"/>
        </w:rPr>
        <w:t>乙方因本合同产生的赔偿、罚金、违约金等款项，甲方有权在应付款项中优先扣减，仍不能弥补甲方损失的，甲方有权向乙方进行追偿。同时，乙方应承担甲方维权产生的诉讼费、保全费、保全担保费、律师代理费等费用。</w:t>
      </w:r>
    </w:p>
    <w:p w14:paraId="2BB9DB36">
      <w:pPr>
        <w:framePr w:wrap="auto" w:vAnchor="margin" w:hAnchor="text" w:yAlign="inline"/>
        <w:widowControl w:val="0"/>
        <w:spacing w:line="360" w:lineRule="auto"/>
        <w:ind w:firstLine="482" w:firstLineChars="200"/>
        <w:jc w:val="both"/>
        <w:rPr>
          <w:rFonts w:hint="eastAsia" w:ascii="仿宋" w:eastAsia="仿宋"/>
          <w:b/>
          <w:bCs/>
          <w:color w:val="auto"/>
          <w:kern w:val="2"/>
          <w:sz w:val="24"/>
          <w:szCs w:val="24"/>
          <w:highlight w:val="none"/>
          <w:lang w:eastAsia="zh-CN"/>
        </w:rPr>
      </w:pPr>
      <w:r>
        <w:rPr>
          <w:rFonts w:hint="eastAsia" w:ascii="仿宋" w:eastAsia="仿宋"/>
          <w:b/>
          <w:bCs/>
          <w:color w:val="auto"/>
          <w:kern w:val="2"/>
          <w:sz w:val="24"/>
          <w:szCs w:val="24"/>
          <w:highlight w:val="none"/>
          <w:lang w:eastAsia="zh-CN"/>
        </w:rPr>
        <w:t>八</w:t>
      </w:r>
      <w:r>
        <w:rPr>
          <w:rFonts w:hint="eastAsia" w:ascii="仿宋" w:eastAsia="仿宋"/>
          <w:b/>
          <w:bCs/>
          <w:color w:val="auto"/>
          <w:kern w:val="2"/>
          <w:sz w:val="24"/>
          <w:szCs w:val="24"/>
          <w:highlight w:val="none"/>
          <w:lang w:val="zh-CN" w:eastAsia="zh-CN"/>
        </w:rPr>
        <w:t>、</w:t>
      </w:r>
      <w:r>
        <w:rPr>
          <w:rFonts w:hint="eastAsia" w:ascii="仿宋" w:eastAsia="仿宋"/>
          <w:b/>
          <w:bCs/>
          <w:color w:val="auto"/>
          <w:kern w:val="2"/>
          <w:sz w:val="24"/>
          <w:szCs w:val="24"/>
          <w:highlight w:val="none"/>
          <w:lang w:eastAsia="zh-CN"/>
        </w:rPr>
        <w:t xml:space="preserve">合同的变更和终止                                                                  </w:t>
      </w:r>
    </w:p>
    <w:p w14:paraId="041F4F9B">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1</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如本项目相关的建设工程施工计划变更引起</w:t>
      </w:r>
      <w:r>
        <w:rPr>
          <w:rFonts w:hint="eastAsia" w:ascii="仿宋" w:eastAsia="仿宋"/>
          <w:color w:val="auto"/>
          <w:kern w:val="2"/>
          <w:sz w:val="24"/>
          <w:szCs w:val="24"/>
          <w:highlight w:val="none"/>
          <w:lang w:val="zh-CN" w:eastAsia="zh-CN"/>
        </w:rPr>
        <w:t>甲乙双方执行本合同期限的变更，</w:t>
      </w:r>
      <w:r>
        <w:rPr>
          <w:rFonts w:hint="eastAsia" w:ascii="仿宋" w:eastAsia="仿宋"/>
          <w:color w:val="auto"/>
          <w:kern w:val="2"/>
          <w:sz w:val="24"/>
          <w:szCs w:val="24"/>
          <w:highlight w:val="none"/>
          <w:lang w:eastAsia="zh-CN"/>
        </w:rPr>
        <w:t>免除双方违约责任。甲乙双方另立补充协议予以完善。</w:t>
      </w:r>
    </w:p>
    <w:p w14:paraId="1E958DB1">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val="zh-CN" w:eastAsia="zh-CN"/>
        </w:rPr>
        <w:t>乙方按甲方需求将合同货物全部合格地交给甲方，并完成本项目的需求供应，甲方根据乙方</w:t>
      </w:r>
      <w:r>
        <w:rPr>
          <w:rFonts w:hint="eastAsia" w:ascii="仿宋" w:eastAsia="仿宋"/>
          <w:color w:val="auto"/>
          <w:kern w:val="2"/>
          <w:sz w:val="24"/>
          <w:szCs w:val="24"/>
          <w:highlight w:val="none"/>
          <w:lang w:eastAsia="zh-CN"/>
        </w:rPr>
        <w:t>材料</w:t>
      </w:r>
      <w:r>
        <w:rPr>
          <w:rFonts w:hint="eastAsia" w:ascii="仿宋" w:eastAsia="仿宋"/>
          <w:color w:val="auto"/>
          <w:kern w:val="2"/>
          <w:sz w:val="24"/>
          <w:szCs w:val="24"/>
          <w:highlight w:val="none"/>
          <w:lang w:val="zh-CN" w:eastAsia="zh-CN"/>
        </w:rPr>
        <w:t>供应</w:t>
      </w:r>
      <w:r>
        <w:rPr>
          <w:rFonts w:hint="eastAsia" w:ascii="仿宋" w:eastAsia="仿宋"/>
          <w:color w:val="auto"/>
          <w:kern w:val="2"/>
          <w:sz w:val="24"/>
          <w:szCs w:val="24"/>
          <w:highlight w:val="none"/>
          <w:lang w:eastAsia="zh-CN"/>
        </w:rPr>
        <w:t>量</w:t>
      </w:r>
      <w:r>
        <w:rPr>
          <w:rFonts w:hint="eastAsia" w:ascii="仿宋" w:eastAsia="仿宋"/>
          <w:color w:val="auto"/>
          <w:kern w:val="2"/>
          <w:sz w:val="24"/>
          <w:szCs w:val="24"/>
          <w:highlight w:val="none"/>
          <w:lang w:val="zh-CN" w:eastAsia="zh-CN"/>
        </w:rPr>
        <w:t>已全额向乙方支付全部材料货款，双方均</w:t>
      </w:r>
      <w:r>
        <w:rPr>
          <w:rFonts w:hint="eastAsia" w:ascii="仿宋" w:eastAsia="仿宋"/>
          <w:color w:val="auto"/>
          <w:kern w:val="2"/>
          <w:sz w:val="24"/>
          <w:szCs w:val="24"/>
          <w:highlight w:val="none"/>
          <w:lang w:eastAsia="zh-CN"/>
        </w:rPr>
        <w:t>已履行完毕本</w:t>
      </w:r>
      <w:r>
        <w:rPr>
          <w:rFonts w:hint="eastAsia" w:ascii="仿宋" w:eastAsia="仿宋"/>
          <w:color w:val="auto"/>
          <w:kern w:val="2"/>
          <w:sz w:val="24"/>
          <w:szCs w:val="24"/>
          <w:highlight w:val="none"/>
          <w:lang w:val="zh-CN" w:eastAsia="zh-CN"/>
        </w:rPr>
        <w:t>合同义务时，合同</w:t>
      </w:r>
      <w:r>
        <w:rPr>
          <w:rFonts w:hint="eastAsia" w:ascii="仿宋" w:eastAsia="仿宋"/>
          <w:color w:val="auto"/>
          <w:kern w:val="2"/>
          <w:sz w:val="24"/>
          <w:szCs w:val="24"/>
          <w:highlight w:val="none"/>
          <w:lang w:eastAsia="zh-CN"/>
        </w:rPr>
        <w:t>自然</w:t>
      </w:r>
      <w:r>
        <w:rPr>
          <w:rFonts w:hint="eastAsia" w:ascii="仿宋" w:eastAsia="仿宋"/>
          <w:color w:val="auto"/>
          <w:kern w:val="2"/>
          <w:sz w:val="24"/>
          <w:szCs w:val="24"/>
          <w:highlight w:val="none"/>
          <w:lang w:val="zh-CN" w:eastAsia="zh-CN"/>
        </w:rPr>
        <w:t>终止</w:t>
      </w:r>
      <w:r>
        <w:rPr>
          <w:rFonts w:hint="eastAsia" w:ascii="仿宋" w:eastAsia="仿宋"/>
          <w:color w:val="auto"/>
          <w:kern w:val="2"/>
          <w:sz w:val="24"/>
          <w:szCs w:val="24"/>
          <w:highlight w:val="none"/>
          <w:lang w:eastAsia="zh-CN"/>
        </w:rPr>
        <w:t>。</w:t>
      </w:r>
    </w:p>
    <w:p w14:paraId="5763BAAE">
      <w:pPr>
        <w:framePr w:wrap="auto" w:vAnchor="margin" w:hAnchor="text" w:yAlign="inline"/>
        <w:widowControl w:val="0"/>
        <w:tabs>
          <w:tab w:val="left" w:pos="0"/>
        </w:tabs>
        <w:autoSpaceDE w:val="0"/>
        <w:autoSpaceDN w:val="0"/>
        <w:spacing w:line="360" w:lineRule="auto"/>
        <w:ind w:firstLine="482" w:firstLineChars="200"/>
        <w:jc w:val="both"/>
        <w:rPr>
          <w:rFonts w:hint="eastAsia" w:ascii="仿宋" w:eastAsia="仿宋"/>
          <w:b/>
          <w:bCs/>
          <w:color w:val="auto"/>
          <w:kern w:val="2"/>
          <w:sz w:val="24"/>
          <w:szCs w:val="24"/>
          <w:highlight w:val="none"/>
          <w:lang w:eastAsia="zh-CN"/>
        </w:rPr>
      </w:pPr>
      <w:r>
        <w:rPr>
          <w:rFonts w:hint="eastAsia" w:ascii="仿宋" w:eastAsia="仿宋"/>
          <w:b/>
          <w:bCs/>
          <w:color w:val="auto"/>
          <w:kern w:val="2"/>
          <w:sz w:val="24"/>
          <w:szCs w:val="24"/>
          <w:highlight w:val="none"/>
          <w:lang w:eastAsia="zh-CN"/>
        </w:rPr>
        <w:t>九</w:t>
      </w:r>
      <w:r>
        <w:rPr>
          <w:rFonts w:hint="eastAsia" w:ascii="仿宋" w:eastAsia="仿宋"/>
          <w:b/>
          <w:bCs/>
          <w:color w:val="auto"/>
          <w:kern w:val="2"/>
          <w:sz w:val="24"/>
          <w:szCs w:val="24"/>
          <w:highlight w:val="none"/>
          <w:lang w:val="zh-CN" w:eastAsia="zh-CN"/>
        </w:rPr>
        <w:t>、不可抗力</w:t>
      </w:r>
    </w:p>
    <w:p w14:paraId="45383156">
      <w:pPr>
        <w:framePr w:wrap="auto" w:vAnchor="margin" w:hAnchor="text" w:yAlign="inline"/>
        <w:widowControl w:val="0"/>
        <w:tabs>
          <w:tab w:val="left" w:pos="0"/>
        </w:tabs>
        <w:autoSpaceDE w:val="0"/>
        <w:autoSpaceDN w:val="0"/>
        <w:spacing w:line="360" w:lineRule="auto"/>
        <w:ind w:firstLine="480" w:firstLineChars="200"/>
        <w:jc w:val="both"/>
        <w:rPr>
          <w:rFonts w:hint="eastAsia" w:ascii="仿宋" w:eastAsia="仿宋"/>
          <w:color w:val="auto"/>
          <w:kern w:val="2"/>
          <w:sz w:val="24"/>
          <w:szCs w:val="24"/>
          <w:highlight w:val="none"/>
          <w:lang w:val="zh-CN" w:eastAsia="zh-CN"/>
        </w:rPr>
      </w:pPr>
      <w:r>
        <w:rPr>
          <w:rFonts w:hint="eastAsia" w:ascii="仿宋" w:eastAsia="仿宋"/>
          <w:color w:val="auto"/>
          <w:kern w:val="2"/>
          <w:sz w:val="24"/>
          <w:szCs w:val="24"/>
          <w:highlight w:val="none"/>
          <w:lang w:val="zh-CN" w:eastAsia="zh-CN"/>
        </w:rPr>
        <w:t>如果本合同执行过程中发生不可抗力事件，以致合同各方不能履行本合同内任务，可即时中止履行或自动延长履行期。本条所述的不可抗力仅限于：战争、自然灾害、防疫限制、禁运。对不可抗力事件造成的任何损失，各方均不负赔偿责任。但双方应在不可抗力发生之日起的7日内，将不可抗力的情况以及所造成的损失情况及时以书面形式通知对方。</w:t>
      </w:r>
    </w:p>
    <w:p w14:paraId="12A18F80">
      <w:pPr>
        <w:framePr w:wrap="auto" w:vAnchor="margin" w:hAnchor="text" w:yAlign="inline"/>
        <w:widowControl w:val="0"/>
        <w:tabs>
          <w:tab w:val="left" w:pos="0"/>
        </w:tabs>
        <w:autoSpaceDE w:val="0"/>
        <w:autoSpaceDN w:val="0"/>
        <w:spacing w:line="360" w:lineRule="auto"/>
        <w:ind w:firstLine="482" w:firstLineChars="200"/>
        <w:jc w:val="both"/>
        <w:rPr>
          <w:rFonts w:hint="eastAsia" w:ascii="仿宋" w:eastAsia="仿宋"/>
          <w:color w:val="auto"/>
          <w:kern w:val="2"/>
          <w:sz w:val="24"/>
          <w:szCs w:val="24"/>
          <w:highlight w:val="none"/>
          <w:lang w:eastAsia="zh-CN"/>
        </w:rPr>
      </w:pPr>
      <w:r>
        <w:rPr>
          <w:rFonts w:hint="eastAsia" w:ascii="仿宋" w:eastAsia="仿宋"/>
          <w:b/>
          <w:bCs/>
          <w:color w:val="auto"/>
          <w:kern w:val="2"/>
          <w:sz w:val="24"/>
          <w:szCs w:val="24"/>
          <w:highlight w:val="none"/>
          <w:lang w:val="zh-CN" w:eastAsia="zh-CN"/>
        </w:rPr>
        <w:t>十、</w:t>
      </w:r>
      <w:r>
        <w:rPr>
          <w:rFonts w:hint="eastAsia" w:ascii="仿宋" w:eastAsia="仿宋"/>
          <w:b/>
          <w:bCs/>
          <w:color w:val="auto"/>
          <w:kern w:val="2"/>
          <w:sz w:val="24"/>
          <w:szCs w:val="24"/>
          <w:highlight w:val="none"/>
          <w:lang w:eastAsia="zh-CN"/>
        </w:rPr>
        <w:t>争议解决</w:t>
      </w:r>
      <w:r>
        <w:rPr>
          <w:rFonts w:hint="eastAsia" w:ascii="仿宋" w:eastAsia="仿宋"/>
          <w:color w:val="auto"/>
          <w:kern w:val="2"/>
          <w:sz w:val="24"/>
          <w:szCs w:val="24"/>
          <w:highlight w:val="none"/>
          <w:lang w:eastAsia="zh-CN"/>
        </w:rPr>
        <w:t xml:space="preserve">                          </w:t>
      </w:r>
    </w:p>
    <w:p w14:paraId="694EDB22">
      <w:pPr>
        <w:framePr w:wrap="auto" w:vAnchor="margin" w:hAnchor="text" w:yAlign="inline"/>
        <w:widowControl w:val="0"/>
        <w:autoSpaceDE w:val="0"/>
        <w:autoSpaceDN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甲乙双方就合同争议可以通过协商解决；若协商无法达成一致意见， 任何一方可向</w:t>
      </w:r>
      <w:r>
        <w:rPr>
          <w:rFonts w:hint="eastAsia" w:ascii="仿宋" w:eastAsia="仿宋"/>
          <w:color w:val="auto"/>
          <w:kern w:val="2"/>
          <w:sz w:val="24"/>
          <w:szCs w:val="24"/>
          <w:highlight w:val="none"/>
          <w:lang w:val="en-US" w:eastAsia="zh-CN"/>
        </w:rPr>
        <w:t>项目工程所在地有管辖权的人民法院</w:t>
      </w:r>
      <w:r>
        <w:rPr>
          <w:rFonts w:hint="eastAsia" w:ascii="仿宋" w:eastAsia="仿宋"/>
          <w:color w:val="auto"/>
          <w:kern w:val="2"/>
          <w:sz w:val="24"/>
          <w:szCs w:val="24"/>
          <w:highlight w:val="none"/>
          <w:lang w:eastAsia="zh-CN"/>
        </w:rPr>
        <w:t>提起</w:t>
      </w:r>
      <w:r>
        <w:rPr>
          <w:rFonts w:hint="eastAsia" w:ascii="仿宋" w:eastAsia="仿宋"/>
          <w:color w:val="auto"/>
          <w:kern w:val="2"/>
          <w:sz w:val="24"/>
          <w:szCs w:val="24"/>
          <w:highlight w:val="none"/>
          <w:lang w:val="en-US" w:eastAsia="zh-CN"/>
        </w:rPr>
        <w:t>诉讼</w:t>
      </w:r>
      <w:r>
        <w:rPr>
          <w:rFonts w:hint="eastAsia" w:ascii="仿宋" w:eastAsia="仿宋"/>
          <w:color w:val="auto"/>
          <w:kern w:val="2"/>
          <w:sz w:val="24"/>
          <w:szCs w:val="24"/>
          <w:highlight w:val="none"/>
          <w:lang w:eastAsia="zh-CN"/>
        </w:rPr>
        <w:t>。</w:t>
      </w:r>
    </w:p>
    <w:p w14:paraId="7047535D">
      <w:pPr>
        <w:framePr w:wrap="auto" w:vAnchor="margin" w:hAnchor="text" w:yAlign="inline"/>
        <w:widowControl w:val="0"/>
        <w:autoSpaceDE w:val="0"/>
        <w:autoSpaceDN w:val="0"/>
        <w:spacing w:line="360" w:lineRule="auto"/>
        <w:ind w:firstLine="482" w:firstLineChars="200"/>
        <w:jc w:val="both"/>
        <w:rPr>
          <w:rFonts w:hint="eastAsia" w:ascii="仿宋" w:eastAsia="仿宋"/>
          <w:b/>
          <w:bCs/>
          <w:color w:val="auto"/>
          <w:kern w:val="2"/>
          <w:sz w:val="24"/>
          <w:szCs w:val="24"/>
          <w:highlight w:val="none"/>
          <w:lang w:val="zh-CN" w:eastAsia="zh-CN"/>
        </w:rPr>
      </w:pPr>
      <w:r>
        <w:rPr>
          <w:rFonts w:hint="eastAsia" w:ascii="仿宋" w:eastAsia="仿宋"/>
          <w:b/>
          <w:bCs/>
          <w:color w:val="auto"/>
          <w:kern w:val="2"/>
          <w:sz w:val="24"/>
          <w:szCs w:val="24"/>
          <w:highlight w:val="none"/>
          <w:lang w:val="zh-CN" w:eastAsia="zh-CN"/>
        </w:rPr>
        <w:t>十</w:t>
      </w:r>
      <w:r>
        <w:rPr>
          <w:rFonts w:hint="eastAsia" w:ascii="仿宋" w:eastAsia="仿宋"/>
          <w:b/>
          <w:bCs/>
          <w:color w:val="auto"/>
          <w:kern w:val="2"/>
          <w:sz w:val="24"/>
          <w:szCs w:val="24"/>
          <w:highlight w:val="none"/>
          <w:lang w:eastAsia="zh-CN"/>
        </w:rPr>
        <w:t>一</w:t>
      </w:r>
      <w:r>
        <w:rPr>
          <w:rFonts w:hint="eastAsia" w:ascii="仿宋" w:eastAsia="仿宋"/>
          <w:b/>
          <w:bCs/>
          <w:color w:val="auto"/>
          <w:kern w:val="2"/>
          <w:sz w:val="24"/>
          <w:szCs w:val="24"/>
          <w:highlight w:val="none"/>
          <w:lang w:val="zh-CN" w:eastAsia="zh-CN"/>
        </w:rPr>
        <w:t>、其他</w:t>
      </w:r>
    </w:p>
    <w:p w14:paraId="3F8CF2C1">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1</w:t>
      </w:r>
      <w:r>
        <w:rPr>
          <w:rFonts w:hint="eastAsia" w:ascii="仿宋" w:eastAsia="仿宋"/>
          <w:color w:val="auto"/>
          <w:kern w:val="2"/>
          <w:sz w:val="24"/>
          <w:szCs w:val="24"/>
          <w:highlight w:val="none"/>
          <w:lang w:val="en-US" w:eastAsia="zh-CN"/>
        </w:rPr>
        <w:t>.</w:t>
      </w:r>
      <w:r>
        <w:rPr>
          <w:rFonts w:hint="eastAsia" w:ascii="仿宋" w:eastAsia="仿宋" w:cs="仿宋"/>
          <w:color w:val="auto"/>
          <w:kern w:val="0"/>
          <w:sz w:val="24"/>
          <w:szCs w:val="21"/>
          <w:highlight w:val="none"/>
          <w:lang w:eastAsia="zh-CN"/>
        </w:rPr>
        <w:t>甲方不允许项目部人员擅自变更本合同以及以甲方或甲方项目部名义对外借款等。甲方与乙方之间签订的任何合同、协议、补充合同、承诺书、确认单等均以甲方</w:t>
      </w:r>
      <w:r>
        <w:rPr>
          <w:rFonts w:hint="eastAsia" w:ascii="仿宋" w:eastAsia="仿宋" w:cs="仿宋"/>
          <w:bCs/>
          <w:color w:val="auto"/>
          <w:kern w:val="0"/>
          <w:sz w:val="24"/>
          <w:szCs w:val="21"/>
          <w:highlight w:val="none"/>
          <w:lang w:eastAsia="zh-CN"/>
        </w:rPr>
        <w:t>委派项目经理签字并加盖公司公章或公司合同专用章</w:t>
      </w:r>
      <w:r>
        <w:rPr>
          <w:rFonts w:hint="eastAsia" w:ascii="仿宋" w:eastAsia="仿宋" w:cs="仿宋"/>
          <w:color w:val="auto"/>
          <w:kern w:val="0"/>
          <w:sz w:val="24"/>
          <w:szCs w:val="21"/>
          <w:highlight w:val="none"/>
          <w:lang w:eastAsia="zh-CN"/>
        </w:rPr>
        <w:t>确认（除送货单、</w:t>
      </w:r>
      <w:r>
        <w:rPr>
          <w:rFonts w:hint="eastAsia" w:ascii="仿宋" w:eastAsia="仿宋"/>
          <w:b w:val="0"/>
          <w:bCs/>
          <w:color w:val="auto"/>
          <w:kern w:val="2"/>
          <w:sz w:val="24"/>
          <w:szCs w:val="24"/>
          <w:highlight w:val="none"/>
          <w:u w:val="none"/>
          <w:lang w:val="en-US" w:eastAsia="zh-CN"/>
        </w:rPr>
        <w:t>材料签收单、</w:t>
      </w:r>
      <w:r>
        <w:rPr>
          <w:rFonts w:hint="eastAsia" w:ascii="仿宋" w:eastAsia="仿宋" w:cs="仿宋"/>
          <w:color w:val="auto"/>
          <w:kern w:val="0"/>
          <w:sz w:val="24"/>
          <w:szCs w:val="21"/>
          <w:highlight w:val="none"/>
          <w:lang w:eastAsia="zh-CN"/>
        </w:rPr>
        <w:t>对账单、结算单允许盖项目部章外），除此之外，加盖任何项目部印章、技术资料专用章、项目部财务章或项目部人员签名均对甲方不产生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0A1D2685">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2</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乙方报价文件所涉及的内容和承诺的事项，将成为本合同的有效组织部分；合同如有未尽事宜，双方共同协商解决，另立补充合同或协议。</w:t>
      </w:r>
    </w:p>
    <w:p w14:paraId="5F5CAAAC">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bCs/>
          <w:color w:val="auto"/>
          <w:kern w:val="2"/>
          <w:sz w:val="24"/>
          <w:szCs w:val="24"/>
          <w:highlight w:val="none"/>
          <w:lang w:eastAsia="zh-CN"/>
        </w:rPr>
        <w:t>3</w:t>
      </w:r>
      <w:r>
        <w:rPr>
          <w:rFonts w:hint="eastAsia" w:ascii="仿宋" w:eastAsia="仿宋"/>
          <w:bCs/>
          <w:color w:val="auto"/>
          <w:kern w:val="2"/>
          <w:sz w:val="24"/>
          <w:szCs w:val="24"/>
          <w:highlight w:val="none"/>
          <w:lang w:val="en-US" w:eastAsia="zh-CN"/>
        </w:rPr>
        <w:t>.</w:t>
      </w:r>
      <w:r>
        <w:rPr>
          <w:rFonts w:hint="eastAsia" w:ascii="仿宋" w:eastAsia="仿宋"/>
          <w:color w:val="auto"/>
          <w:kern w:val="2"/>
          <w:sz w:val="24"/>
          <w:szCs w:val="24"/>
          <w:highlight w:val="none"/>
          <w:lang w:eastAsia="zh-CN"/>
        </w:rPr>
        <w:t>就本合同有关事项，任何一方按照下列地址送达、寄送通知等法律文件，即视为已经有效送达另一方。任务一方变更下列联系地址，应当及时书面通知另一方，另一方在收到联系地址变更的书面通知前，按照下列地址送达、寄送通知等法律文件，仍然视为有效送达。</w:t>
      </w:r>
    </w:p>
    <w:p w14:paraId="39CAB0B6">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甲方地址：</w:t>
      </w:r>
      <w:r>
        <w:rPr>
          <w:rFonts w:hint="eastAsia" w:ascii="仿宋" w:eastAsia="仿宋"/>
          <w:color w:val="auto"/>
          <w:kern w:val="2"/>
          <w:sz w:val="24"/>
          <w:szCs w:val="24"/>
          <w:highlight w:val="none"/>
          <w:u w:val="single"/>
          <w:shd w:val="clear" w:color="auto" w:fill="auto"/>
          <w:lang w:val="en-US" w:eastAsia="zh-CN"/>
        </w:rPr>
        <w:t xml:space="preserve">   </w:t>
      </w:r>
      <w:r>
        <w:rPr>
          <w:rFonts w:hint="eastAsia" w:ascii="仿宋" w:eastAsia="仿宋"/>
          <w:color w:val="auto"/>
          <w:kern w:val="2"/>
          <w:sz w:val="24"/>
          <w:szCs w:val="24"/>
          <w:highlight w:val="none"/>
          <w:u w:val="single"/>
          <w:lang w:eastAsia="zh-CN"/>
        </w:rPr>
        <w:t xml:space="preserve">  </w:t>
      </w:r>
    </w:p>
    <w:p w14:paraId="03D94D39">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乙方地址：</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 xml:space="preserve">                                     </w:t>
      </w:r>
    </w:p>
    <w:p w14:paraId="5D17A51E">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val="en-US" w:eastAsia="zh-CN"/>
        </w:rPr>
      </w:pPr>
      <w:r>
        <w:rPr>
          <w:rFonts w:hint="eastAsia" w:ascii="仿宋" w:eastAsia="仿宋"/>
          <w:color w:val="auto"/>
          <w:kern w:val="2"/>
          <w:sz w:val="24"/>
          <w:szCs w:val="24"/>
          <w:highlight w:val="none"/>
          <w:lang w:eastAsia="zh-CN"/>
        </w:rPr>
        <w:t>4</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本合同一式</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份，甲方执</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份，乙方执</w:t>
      </w:r>
      <w:r>
        <w:rPr>
          <w:rFonts w:hint="eastAsia" w:ascii="仿宋" w:eastAsia="仿宋"/>
          <w:color w:val="auto"/>
          <w:kern w:val="2"/>
          <w:sz w:val="24"/>
          <w:szCs w:val="24"/>
          <w:highlight w:val="none"/>
          <w:u w:val="single"/>
          <w:lang w:val="en-US" w:eastAsia="zh-CN"/>
        </w:rPr>
        <w:t xml:space="preserve">  </w:t>
      </w:r>
      <w:r>
        <w:rPr>
          <w:rFonts w:hint="eastAsia" w:ascii="仿宋" w:eastAsia="仿宋"/>
          <w:color w:val="auto"/>
          <w:kern w:val="2"/>
          <w:sz w:val="24"/>
          <w:szCs w:val="24"/>
          <w:highlight w:val="none"/>
          <w:lang w:eastAsia="zh-CN"/>
        </w:rPr>
        <w:t>份，具有同等的法律效力。</w:t>
      </w:r>
    </w:p>
    <w:p w14:paraId="20D6C114">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5</w:t>
      </w:r>
      <w:r>
        <w:rPr>
          <w:rFonts w:hint="eastAsia" w:ascii="仿宋" w:eastAsia="仿宋"/>
          <w:color w:val="auto"/>
          <w:kern w:val="2"/>
          <w:sz w:val="24"/>
          <w:szCs w:val="24"/>
          <w:highlight w:val="none"/>
          <w:lang w:val="en-US" w:eastAsia="zh-CN"/>
        </w:rPr>
        <w:t>.</w:t>
      </w:r>
      <w:r>
        <w:rPr>
          <w:rFonts w:hint="eastAsia" w:ascii="仿宋" w:eastAsia="仿宋"/>
          <w:color w:val="auto"/>
          <w:kern w:val="2"/>
          <w:sz w:val="24"/>
          <w:szCs w:val="24"/>
          <w:highlight w:val="none"/>
          <w:lang w:eastAsia="zh-CN"/>
        </w:rPr>
        <w:t>本合同在双方签字盖章后生效，双方履行完毕合同中全部</w:t>
      </w:r>
      <w:r>
        <w:rPr>
          <w:rFonts w:hint="eastAsia" w:ascii="仿宋" w:eastAsia="仿宋"/>
          <w:color w:val="auto"/>
          <w:kern w:val="2"/>
          <w:sz w:val="24"/>
          <w:szCs w:val="24"/>
          <w:highlight w:val="none"/>
          <w:lang w:val="en-US" w:eastAsia="zh-CN"/>
        </w:rPr>
        <w:t>义务</w:t>
      </w:r>
      <w:r>
        <w:rPr>
          <w:rFonts w:hint="eastAsia" w:ascii="仿宋" w:eastAsia="仿宋"/>
          <w:color w:val="auto"/>
          <w:kern w:val="2"/>
          <w:sz w:val="24"/>
          <w:szCs w:val="24"/>
          <w:highlight w:val="none"/>
          <w:lang w:eastAsia="zh-CN"/>
        </w:rPr>
        <w:t>后自然终止。</w:t>
      </w:r>
    </w:p>
    <w:p w14:paraId="7F6B6579">
      <w:pPr>
        <w:framePr w:wrap="auto" w:vAnchor="margin" w:hAnchor="text" w:yAlign="inline"/>
        <w:widowControl w:val="0"/>
        <w:spacing w:line="360" w:lineRule="auto"/>
        <w:ind w:right="-998" w:rightChars="-416" w:firstLine="480" w:firstLineChars="200"/>
        <w:jc w:val="both"/>
        <w:rPr>
          <w:rFonts w:hint="eastAsia" w:ascii="仿宋" w:eastAsia="仿宋"/>
          <w:color w:val="auto"/>
          <w:kern w:val="2"/>
          <w:sz w:val="24"/>
          <w:szCs w:val="24"/>
          <w:highlight w:val="none"/>
          <w:lang w:eastAsia="zh-CN"/>
        </w:rPr>
      </w:pPr>
      <w:r>
        <w:rPr>
          <w:rFonts w:hint="eastAsia" w:ascii="仿宋" w:eastAsia="仿宋"/>
          <w:color w:val="auto"/>
          <w:kern w:val="2"/>
          <w:sz w:val="24"/>
          <w:szCs w:val="24"/>
          <w:highlight w:val="none"/>
          <w:lang w:eastAsia="zh-CN"/>
        </w:rPr>
        <w:t>（以下无正文）</w:t>
      </w:r>
    </w:p>
    <w:p w14:paraId="2CC71ABD">
      <w:pPr>
        <w:framePr w:wrap="auto" w:vAnchor="margin" w:hAnchor="text" w:yAlign="inline"/>
        <w:widowControl w:val="0"/>
        <w:spacing w:line="360" w:lineRule="auto"/>
        <w:ind w:firstLine="480" w:firstLineChars="200"/>
        <w:jc w:val="both"/>
        <w:rPr>
          <w:rFonts w:hint="eastAsia" w:ascii="仿宋" w:eastAsia="仿宋"/>
          <w:color w:val="auto"/>
          <w:kern w:val="2"/>
          <w:sz w:val="24"/>
          <w:szCs w:val="24"/>
          <w:highlight w:val="none"/>
          <w:lang w:eastAsia="zh-CN"/>
        </w:rPr>
      </w:pPr>
      <w:bookmarkStart w:id="27" w:name="_GoBack"/>
      <w:bookmarkEnd w:id="27"/>
    </w:p>
    <w:tbl>
      <w:tblPr>
        <w:tblStyle w:val="18"/>
        <w:tblpPr w:leftFromText="180" w:rightFromText="180" w:vertAnchor="text" w:horzAnchor="page" w:tblpX="1745" w:tblpY="257"/>
        <w:tblOverlap w:val="never"/>
        <w:tblW w:w="86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93"/>
        <w:gridCol w:w="4946"/>
      </w:tblGrid>
      <w:tr w14:paraId="2159D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3693" w:type="dxa"/>
            <w:tcBorders>
              <w:tl2br w:val="nil"/>
              <w:tr2bl w:val="nil"/>
            </w:tcBorders>
            <w:noWrap/>
          </w:tcPr>
          <w:p w14:paraId="75E3651C">
            <w:pPr>
              <w:framePr w:wrap="auto" w:vAnchor="margin" w:hAnchor="text" w:yAlign="inline"/>
              <w:widowControl w:val="0"/>
              <w:spacing w:line="360" w:lineRule="auto"/>
              <w:jc w:val="left"/>
              <w:rPr>
                <w:rFonts w:hint="default" w:ascii="仿宋" w:eastAsia="仿宋"/>
                <w:color w:val="auto"/>
                <w:kern w:val="2"/>
                <w:sz w:val="24"/>
                <w:szCs w:val="21"/>
                <w:highlight w:val="none"/>
                <w:lang w:val="en-US" w:eastAsia="zh-CN"/>
              </w:rPr>
            </w:pPr>
            <w:r>
              <w:rPr>
                <w:rFonts w:hint="eastAsia" w:ascii="仿宋" w:eastAsia="仿宋"/>
                <w:color w:val="auto"/>
                <w:kern w:val="2"/>
                <w:sz w:val="24"/>
                <w:szCs w:val="21"/>
                <w:highlight w:val="none"/>
                <w:lang w:val="en-US" w:eastAsia="zh-CN"/>
              </w:rPr>
              <w:t xml:space="preserve">甲方： </w:t>
            </w:r>
          </w:p>
          <w:p w14:paraId="2354AB35">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1"/>
                <w:highlight w:val="none"/>
                <w:lang w:val="en-US" w:eastAsia="zh-CN"/>
              </w:rPr>
              <w:t>（盖章）</w:t>
            </w:r>
          </w:p>
        </w:tc>
        <w:tc>
          <w:tcPr>
            <w:tcW w:w="4946" w:type="dxa"/>
            <w:tcBorders>
              <w:tl2br w:val="nil"/>
              <w:tr2bl w:val="nil"/>
            </w:tcBorders>
            <w:noWrap/>
          </w:tcPr>
          <w:p w14:paraId="0BC54A7C">
            <w:pPr>
              <w:framePr w:wrap="auto" w:vAnchor="margin" w:hAnchor="text" w:yAlign="inline"/>
              <w:widowControl w:val="0"/>
              <w:autoSpaceDE w:val="0"/>
              <w:autoSpaceDN w:val="0"/>
              <w:spacing w:line="360" w:lineRule="auto"/>
              <w:ind w:firstLine="0"/>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1"/>
                <w:highlight w:val="none"/>
                <w:lang w:val="en-US" w:eastAsia="zh-CN"/>
              </w:rPr>
              <w:t>乙方：</w:t>
            </w:r>
            <w:r>
              <w:rPr>
                <w:rFonts w:hint="eastAsia" w:ascii="仿宋" w:eastAsia="仿宋"/>
                <w:color w:val="auto"/>
                <w:kern w:val="2"/>
                <w:sz w:val="24"/>
                <w:szCs w:val="24"/>
                <w:highlight w:val="none"/>
                <w:lang w:val="en-US" w:eastAsia="zh-CN"/>
              </w:rPr>
              <w:t xml:space="preserve"> </w:t>
            </w:r>
          </w:p>
          <w:p w14:paraId="28F26EDD">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1"/>
                <w:highlight w:val="none"/>
                <w:lang w:val="en-US" w:eastAsia="zh-CN"/>
              </w:rPr>
              <w:t>（盖章）</w:t>
            </w:r>
          </w:p>
        </w:tc>
      </w:tr>
      <w:tr w14:paraId="6A591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 w:hRule="atLeast"/>
        </w:trPr>
        <w:tc>
          <w:tcPr>
            <w:tcW w:w="3693" w:type="dxa"/>
            <w:tcBorders>
              <w:tl2br w:val="nil"/>
              <w:tr2bl w:val="nil"/>
            </w:tcBorders>
            <w:noWrap/>
          </w:tcPr>
          <w:p w14:paraId="12E3BCAC">
            <w:pPr>
              <w:framePr w:wrap="auto" w:vAnchor="margin" w:hAnchor="text" w:yAlign="inline"/>
              <w:widowControl w:val="0"/>
              <w:spacing w:line="360" w:lineRule="auto"/>
              <w:jc w:val="left"/>
              <w:rPr>
                <w:rFonts w:hint="eastAsia" w:ascii="仿宋" w:eastAsia="仿宋"/>
                <w:color w:val="auto"/>
                <w:kern w:val="2"/>
                <w:sz w:val="24"/>
                <w:szCs w:val="21"/>
                <w:highlight w:val="none"/>
                <w:vertAlign w:val="baseline"/>
                <w:lang w:val="en-US" w:eastAsia="zh-CN"/>
              </w:rPr>
            </w:pPr>
            <w:r>
              <w:rPr>
                <w:rFonts w:hint="eastAsia" w:ascii="仿宋" w:eastAsia="仿宋"/>
                <w:color w:val="auto"/>
                <w:kern w:val="2"/>
                <w:sz w:val="24"/>
                <w:szCs w:val="24"/>
                <w:highlight w:val="none"/>
                <w:lang w:eastAsia="zh-CN"/>
              </w:rPr>
              <w:t>法定代表人：(签名)</w:t>
            </w:r>
          </w:p>
        </w:tc>
        <w:tc>
          <w:tcPr>
            <w:tcW w:w="4946" w:type="dxa"/>
            <w:tcBorders>
              <w:tl2br w:val="nil"/>
              <w:tr2bl w:val="nil"/>
            </w:tcBorders>
            <w:noWrap/>
          </w:tcPr>
          <w:p w14:paraId="3E093F95">
            <w:pPr>
              <w:framePr w:wrap="auto" w:vAnchor="margin" w:hAnchor="text" w:yAlign="inline"/>
              <w:widowControl w:val="0"/>
              <w:spacing w:line="360" w:lineRule="auto"/>
              <w:jc w:val="left"/>
              <w:rPr>
                <w:rFonts w:hint="eastAsia" w:ascii="仿宋" w:eastAsia="仿宋"/>
                <w:color w:val="auto"/>
                <w:kern w:val="2"/>
                <w:sz w:val="24"/>
                <w:szCs w:val="21"/>
                <w:highlight w:val="none"/>
                <w:vertAlign w:val="baseline"/>
                <w:lang w:val="en-US" w:eastAsia="zh-CN"/>
              </w:rPr>
            </w:pPr>
            <w:r>
              <w:rPr>
                <w:rFonts w:hint="eastAsia" w:ascii="仿宋" w:eastAsia="仿宋"/>
                <w:color w:val="auto"/>
                <w:kern w:val="2"/>
                <w:sz w:val="24"/>
                <w:szCs w:val="24"/>
                <w:highlight w:val="none"/>
                <w:lang w:eastAsia="zh-CN"/>
              </w:rPr>
              <w:t>法定代表人；(签名)</w:t>
            </w:r>
          </w:p>
        </w:tc>
      </w:tr>
      <w:tr w14:paraId="4F414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 w:hRule="atLeast"/>
        </w:trPr>
        <w:tc>
          <w:tcPr>
            <w:tcW w:w="3693" w:type="dxa"/>
            <w:tcBorders>
              <w:tl2br w:val="nil"/>
              <w:tr2bl w:val="nil"/>
            </w:tcBorders>
            <w:noWrap/>
          </w:tcPr>
          <w:p w14:paraId="44CE215C">
            <w:pPr>
              <w:framePr w:wrap="auto" w:vAnchor="margin" w:hAnchor="text" w:yAlign="inline"/>
              <w:widowControl w:val="0"/>
              <w:spacing w:line="360" w:lineRule="auto"/>
              <w:jc w:val="left"/>
              <w:rPr>
                <w:rFonts w:hint="eastAsia" w:ascii="仿宋" w:eastAsia="仿宋"/>
                <w:color w:val="auto"/>
                <w:kern w:val="2"/>
                <w:sz w:val="24"/>
                <w:szCs w:val="21"/>
                <w:highlight w:val="none"/>
                <w:vertAlign w:val="baseline"/>
                <w:lang w:val="en-US" w:eastAsia="zh-CN"/>
              </w:rPr>
            </w:pPr>
            <w:r>
              <w:rPr>
                <w:rFonts w:hint="eastAsia" w:ascii="仿宋" w:eastAsia="仿宋"/>
                <w:color w:val="auto"/>
                <w:kern w:val="2"/>
                <w:sz w:val="24"/>
                <w:szCs w:val="24"/>
                <w:highlight w:val="none"/>
                <w:lang w:eastAsia="zh-CN"/>
              </w:rPr>
              <w:t>或委托代理人：(签名)</w:t>
            </w:r>
          </w:p>
        </w:tc>
        <w:tc>
          <w:tcPr>
            <w:tcW w:w="4946" w:type="dxa"/>
            <w:tcBorders>
              <w:tl2br w:val="nil"/>
              <w:tr2bl w:val="nil"/>
            </w:tcBorders>
            <w:noWrap/>
          </w:tcPr>
          <w:p w14:paraId="2606E2E0">
            <w:pPr>
              <w:framePr w:wrap="auto" w:vAnchor="margin" w:hAnchor="text" w:yAlign="inline"/>
              <w:widowControl w:val="0"/>
              <w:spacing w:line="360" w:lineRule="auto"/>
              <w:ind w:left="0"/>
              <w:jc w:val="left"/>
              <w:rPr>
                <w:rFonts w:hint="eastAsia" w:ascii="仿宋" w:eastAsia="仿宋"/>
                <w:color w:val="auto"/>
                <w:kern w:val="2"/>
                <w:sz w:val="24"/>
                <w:szCs w:val="21"/>
                <w:highlight w:val="none"/>
                <w:vertAlign w:val="baseline"/>
                <w:lang w:val="en-US" w:eastAsia="zh-CN"/>
              </w:rPr>
            </w:pPr>
            <w:r>
              <w:rPr>
                <w:rFonts w:hint="eastAsia" w:ascii="仿宋" w:eastAsia="仿宋"/>
                <w:color w:val="auto"/>
                <w:kern w:val="2"/>
                <w:sz w:val="24"/>
                <w:szCs w:val="24"/>
                <w:highlight w:val="none"/>
                <w:lang w:eastAsia="zh-CN"/>
              </w:rPr>
              <w:t>或委托代理人；(签名)</w:t>
            </w:r>
          </w:p>
        </w:tc>
      </w:tr>
      <w:tr w14:paraId="125A3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3693" w:type="dxa"/>
            <w:tcBorders>
              <w:tl2br w:val="nil"/>
              <w:tr2bl w:val="nil"/>
            </w:tcBorders>
            <w:noWrap/>
          </w:tcPr>
          <w:p w14:paraId="00DE294F">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ascii="仿宋" w:eastAsia="仿宋"/>
                <w:color w:val="auto"/>
                <w:kern w:val="2"/>
                <w:sz w:val="24"/>
                <w:szCs w:val="21"/>
                <w:highlight w:val="none"/>
                <w:lang w:val="en-US" w:eastAsia="zh-CN"/>
              </w:rPr>
              <w:t>开户银行：</w:t>
            </w:r>
            <w:r>
              <w:rPr>
                <w:rFonts w:hint="eastAsia" w:ascii="仿宋" w:eastAsia="仿宋"/>
                <w:color w:val="auto"/>
                <w:kern w:val="2"/>
                <w:sz w:val="24"/>
                <w:szCs w:val="21"/>
                <w:highlight w:val="none"/>
                <w:lang w:val="en-US" w:eastAsia="zh-CN"/>
              </w:rPr>
              <w:t xml:space="preserve"> </w:t>
            </w:r>
          </w:p>
        </w:tc>
        <w:tc>
          <w:tcPr>
            <w:tcW w:w="4946" w:type="dxa"/>
            <w:tcBorders>
              <w:tl2br w:val="nil"/>
              <w:tr2bl w:val="nil"/>
            </w:tcBorders>
            <w:noWrap/>
          </w:tcPr>
          <w:p w14:paraId="12D2220D">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1"/>
                <w:highlight w:val="none"/>
                <w:lang w:eastAsia="zh-CN"/>
              </w:rPr>
              <w:t>开户银行：</w:t>
            </w:r>
            <w:r>
              <w:rPr>
                <w:rFonts w:hint="eastAsia" w:ascii="仿宋" w:eastAsia="仿宋"/>
                <w:color w:val="auto"/>
                <w:kern w:val="2"/>
                <w:sz w:val="24"/>
                <w:szCs w:val="24"/>
                <w:highlight w:val="none"/>
                <w:lang w:val="en-US" w:eastAsia="zh-CN"/>
              </w:rPr>
              <w:t xml:space="preserve"> </w:t>
            </w:r>
          </w:p>
        </w:tc>
      </w:tr>
      <w:tr w14:paraId="0CCA2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3693" w:type="dxa"/>
            <w:tcBorders>
              <w:tl2br w:val="nil"/>
              <w:tr2bl w:val="nil"/>
            </w:tcBorders>
            <w:noWrap/>
          </w:tcPr>
          <w:p w14:paraId="0FD44177">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ascii="仿宋" w:eastAsia="仿宋"/>
                <w:color w:val="auto"/>
                <w:kern w:val="2"/>
                <w:sz w:val="24"/>
                <w:szCs w:val="21"/>
                <w:highlight w:val="none"/>
                <w:lang w:val="en-US" w:eastAsia="zh-CN"/>
              </w:rPr>
              <w:t>银行账号：</w:t>
            </w:r>
            <w:r>
              <w:rPr>
                <w:rFonts w:hint="eastAsia" w:ascii="仿宋" w:eastAsia="仿宋"/>
                <w:color w:val="auto"/>
                <w:kern w:val="2"/>
                <w:sz w:val="24"/>
                <w:szCs w:val="21"/>
                <w:highlight w:val="none"/>
                <w:lang w:val="en-US" w:eastAsia="zh-CN"/>
              </w:rPr>
              <w:t xml:space="preserve"> </w:t>
            </w:r>
          </w:p>
        </w:tc>
        <w:tc>
          <w:tcPr>
            <w:tcW w:w="4946" w:type="dxa"/>
            <w:tcBorders>
              <w:tl2br w:val="nil"/>
              <w:tr2bl w:val="nil"/>
            </w:tcBorders>
            <w:noWrap/>
          </w:tcPr>
          <w:p w14:paraId="5E57A78D">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1"/>
                <w:highlight w:val="none"/>
                <w:lang w:eastAsia="zh-CN"/>
              </w:rPr>
              <w:t>银行帐号：</w:t>
            </w:r>
            <w:r>
              <w:rPr>
                <w:rFonts w:hint="eastAsia" w:ascii="仿宋" w:eastAsia="仿宋"/>
                <w:color w:val="auto"/>
                <w:kern w:val="2"/>
                <w:sz w:val="24"/>
                <w:szCs w:val="24"/>
                <w:highlight w:val="none"/>
                <w:lang w:val="en-US" w:eastAsia="zh-CN"/>
              </w:rPr>
              <w:t xml:space="preserve"> </w:t>
            </w:r>
          </w:p>
        </w:tc>
      </w:tr>
      <w:tr w14:paraId="18C87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 w:hRule="atLeast"/>
        </w:trPr>
        <w:tc>
          <w:tcPr>
            <w:tcW w:w="3693" w:type="dxa"/>
            <w:tcBorders>
              <w:tl2br w:val="nil"/>
              <w:tr2bl w:val="nil"/>
            </w:tcBorders>
            <w:noWrap/>
          </w:tcPr>
          <w:p w14:paraId="30052111">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ascii="仿宋" w:eastAsia="仿宋"/>
                <w:color w:val="auto"/>
                <w:kern w:val="2"/>
                <w:sz w:val="24"/>
                <w:szCs w:val="21"/>
                <w:highlight w:val="none"/>
                <w:lang w:val="en-US" w:eastAsia="zh-CN"/>
              </w:rPr>
              <w:t>税号：</w:t>
            </w:r>
            <w:r>
              <w:rPr>
                <w:rFonts w:hint="eastAsia" w:ascii="仿宋" w:eastAsia="仿宋"/>
                <w:color w:val="auto"/>
                <w:kern w:val="2"/>
                <w:sz w:val="24"/>
                <w:szCs w:val="21"/>
                <w:highlight w:val="none"/>
                <w:lang w:val="en-US" w:eastAsia="zh-CN"/>
              </w:rPr>
              <w:t xml:space="preserve"> </w:t>
            </w:r>
          </w:p>
        </w:tc>
        <w:tc>
          <w:tcPr>
            <w:tcW w:w="4946" w:type="dxa"/>
            <w:tcBorders>
              <w:tl2br w:val="nil"/>
              <w:tr2bl w:val="nil"/>
            </w:tcBorders>
            <w:noWrap/>
          </w:tcPr>
          <w:p w14:paraId="5A8CCD59">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ascii="仿宋" w:eastAsia="仿宋"/>
                <w:color w:val="auto"/>
                <w:kern w:val="2"/>
                <w:sz w:val="24"/>
                <w:szCs w:val="24"/>
                <w:highlight w:val="none"/>
                <w:lang w:val="en-US" w:eastAsia="zh-CN"/>
              </w:rPr>
              <w:t>税 号</w:t>
            </w:r>
            <w:r>
              <w:rPr>
                <w:rFonts w:hint="eastAsia" w:ascii="仿宋" w:eastAsia="仿宋"/>
                <w:color w:val="auto"/>
                <w:kern w:val="2"/>
                <w:sz w:val="24"/>
                <w:szCs w:val="24"/>
                <w:highlight w:val="none"/>
                <w:lang w:val="en-US" w:eastAsia="zh-CN"/>
              </w:rPr>
              <w:t xml:space="preserve">： </w:t>
            </w:r>
          </w:p>
        </w:tc>
      </w:tr>
      <w:tr w14:paraId="0F325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 w:hRule="atLeast"/>
        </w:trPr>
        <w:tc>
          <w:tcPr>
            <w:tcW w:w="3693" w:type="dxa"/>
            <w:tcBorders>
              <w:tl2br w:val="nil"/>
              <w:tr2bl w:val="nil"/>
            </w:tcBorders>
            <w:noWrap/>
          </w:tcPr>
          <w:p w14:paraId="09065657">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4"/>
                <w:highlight w:val="none"/>
                <w:lang w:eastAsia="zh-CN"/>
              </w:rPr>
              <w:t>签订时间：</w:t>
            </w:r>
            <w:r>
              <w:rPr>
                <w:rFonts w:hint="eastAsia" w:ascii="仿宋" w:eastAsia="仿宋"/>
                <w:color w:val="auto"/>
                <w:kern w:val="2"/>
                <w:sz w:val="24"/>
                <w:szCs w:val="24"/>
                <w:highlight w:val="none"/>
                <w:lang w:val="en-US" w:eastAsia="zh-CN"/>
              </w:rPr>
              <w:t xml:space="preserve">  年  月  日</w:t>
            </w:r>
          </w:p>
        </w:tc>
        <w:tc>
          <w:tcPr>
            <w:tcW w:w="4946" w:type="dxa"/>
            <w:tcBorders>
              <w:tl2br w:val="nil"/>
              <w:tr2bl w:val="nil"/>
            </w:tcBorders>
            <w:noWrap/>
          </w:tcPr>
          <w:p w14:paraId="742ADDC2">
            <w:pPr>
              <w:framePr w:wrap="auto" w:vAnchor="margin" w:hAnchor="text" w:yAlign="inline"/>
              <w:widowControl w:val="0"/>
              <w:spacing w:line="360" w:lineRule="auto"/>
              <w:jc w:val="left"/>
              <w:rPr>
                <w:rFonts w:hint="eastAsia" w:ascii="仿宋" w:eastAsia="仿宋"/>
                <w:color w:val="auto"/>
                <w:kern w:val="2"/>
                <w:sz w:val="24"/>
                <w:szCs w:val="21"/>
                <w:highlight w:val="none"/>
                <w:lang w:val="en-US" w:eastAsia="zh-CN"/>
              </w:rPr>
            </w:pPr>
            <w:r>
              <w:rPr>
                <w:rFonts w:hint="eastAsia" w:ascii="仿宋" w:eastAsia="仿宋"/>
                <w:color w:val="auto"/>
                <w:kern w:val="2"/>
                <w:sz w:val="24"/>
                <w:szCs w:val="24"/>
                <w:highlight w:val="none"/>
                <w:lang w:eastAsia="zh-CN"/>
              </w:rPr>
              <w:t>签订时间：</w:t>
            </w:r>
            <w:r>
              <w:rPr>
                <w:rFonts w:hint="eastAsia" w:ascii="仿宋" w:eastAsia="仿宋"/>
                <w:color w:val="auto"/>
                <w:kern w:val="2"/>
                <w:sz w:val="24"/>
                <w:szCs w:val="24"/>
                <w:highlight w:val="none"/>
                <w:lang w:val="en-US" w:eastAsia="zh-CN"/>
              </w:rPr>
              <w:t xml:space="preserve">  年  月  日</w:t>
            </w:r>
          </w:p>
        </w:tc>
      </w:tr>
    </w:tbl>
    <w:p w14:paraId="66E0F2D9">
      <w:pPr>
        <w:framePr w:wrap="auto" w:vAnchor="margin" w:hAnchor="text" w:yAlign="inline"/>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br w:type="page"/>
      </w:r>
    </w:p>
    <w:p w14:paraId="67A23A58">
      <w:pPr>
        <w:framePr w:wrap="auto" w:vAnchor="margin" w:hAnchor="text" w:yAlign="inline"/>
        <w:rPr>
          <w:rFonts w:hint="eastAsia" w:ascii="宋体" w:hAnsi="宋体" w:eastAsia="宋体" w:cs="宋体"/>
          <w:b/>
          <w:bCs/>
          <w:color w:val="auto"/>
          <w:sz w:val="32"/>
          <w:szCs w:val="32"/>
          <w:highlight w:val="none"/>
          <w:lang w:val="en-US" w:eastAsia="zh-CN"/>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4947"/>
      <w:r>
        <w:rPr>
          <w:rFonts w:hint="eastAsia" w:ascii="宋体" w:hAnsi="宋体" w:eastAsia="宋体" w:cs="宋体"/>
          <w:b/>
          <w:bCs/>
          <w:color w:val="auto"/>
          <w:sz w:val="32"/>
          <w:szCs w:val="32"/>
          <w:highlight w:val="none"/>
          <w:lang w:val="en-US" w:eastAsia="zh-CN"/>
        </w:rPr>
        <w:t>第六部分  响应文件格式</w:t>
      </w:r>
      <w:bookmarkEnd w:id="21"/>
      <w:bookmarkEnd w:id="22"/>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广东省惠州市惠东县稔山镇蟹洲海堤水闸重建工程（编号01号）砼预应力管桩采购</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86837000"/>
      <w:bookmarkStart w:id="24" w:name="_Toc480462724"/>
      <w:bookmarkStart w:id="25" w:name="_Toc474920011"/>
      <w:bookmarkStart w:id="26" w:name="_Toc39826987"/>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AB7716AD"/>
    <w:multiLevelType w:val="singleLevel"/>
    <w:tmpl w:val="AB7716AD"/>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966D0"/>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576863"/>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6543DC"/>
    <w:rsid w:val="10B218B8"/>
    <w:rsid w:val="10CD5EA6"/>
    <w:rsid w:val="11380CCB"/>
    <w:rsid w:val="140E413A"/>
    <w:rsid w:val="14FA6062"/>
    <w:rsid w:val="15A136FE"/>
    <w:rsid w:val="15B07E81"/>
    <w:rsid w:val="168F20CE"/>
    <w:rsid w:val="16977C12"/>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381050"/>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512DAC"/>
    <w:rsid w:val="3B9C1436"/>
    <w:rsid w:val="3BA75327"/>
    <w:rsid w:val="3C301A6B"/>
    <w:rsid w:val="3C3257D1"/>
    <w:rsid w:val="3C4871B9"/>
    <w:rsid w:val="3D1E02FB"/>
    <w:rsid w:val="3DB15680"/>
    <w:rsid w:val="3E410621"/>
    <w:rsid w:val="3E647790"/>
    <w:rsid w:val="3E772B72"/>
    <w:rsid w:val="3F5D3D7D"/>
    <w:rsid w:val="3FA10590"/>
    <w:rsid w:val="3FD87226"/>
    <w:rsid w:val="3FEA7A79"/>
    <w:rsid w:val="400224F5"/>
    <w:rsid w:val="4033666C"/>
    <w:rsid w:val="40A25D3E"/>
    <w:rsid w:val="40B05440"/>
    <w:rsid w:val="41000ED7"/>
    <w:rsid w:val="415A648B"/>
    <w:rsid w:val="420416B7"/>
    <w:rsid w:val="423A2EF4"/>
    <w:rsid w:val="42480BEE"/>
    <w:rsid w:val="4282199D"/>
    <w:rsid w:val="42CD4900"/>
    <w:rsid w:val="44935E12"/>
    <w:rsid w:val="451E2F5B"/>
    <w:rsid w:val="455436D3"/>
    <w:rsid w:val="45AF17BA"/>
    <w:rsid w:val="45BA47D3"/>
    <w:rsid w:val="46171F44"/>
    <w:rsid w:val="46C42F35"/>
    <w:rsid w:val="46D05AEB"/>
    <w:rsid w:val="4703605D"/>
    <w:rsid w:val="479A3252"/>
    <w:rsid w:val="4885485B"/>
    <w:rsid w:val="488C3E1C"/>
    <w:rsid w:val="48921A9D"/>
    <w:rsid w:val="493B5A4A"/>
    <w:rsid w:val="49415E3C"/>
    <w:rsid w:val="499C7517"/>
    <w:rsid w:val="49D20000"/>
    <w:rsid w:val="4B1E4D42"/>
    <w:rsid w:val="4B9A2838"/>
    <w:rsid w:val="4CB9722B"/>
    <w:rsid w:val="4D2F1B44"/>
    <w:rsid w:val="4D6D2823"/>
    <w:rsid w:val="4EB27EE8"/>
    <w:rsid w:val="4FCF1240"/>
    <w:rsid w:val="510A728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8F51880"/>
    <w:rsid w:val="58FB6E27"/>
    <w:rsid w:val="59065871"/>
    <w:rsid w:val="5A6C3B35"/>
    <w:rsid w:val="5AEC1D43"/>
    <w:rsid w:val="5B081D8F"/>
    <w:rsid w:val="5B1222C1"/>
    <w:rsid w:val="5B5A24DB"/>
    <w:rsid w:val="5B841066"/>
    <w:rsid w:val="5B8F661B"/>
    <w:rsid w:val="5BAC5C27"/>
    <w:rsid w:val="5BC3207D"/>
    <w:rsid w:val="5C8C126B"/>
    <w:rsid w:val="5C9F730C"/>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21269A"/>
    <w:rsid w:val="64343753"/>
    <w:rsid w:val="646B5AF4"/>
    <w:rsid w:val="64D23995"/>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2B77AF"/>
    <w:rsid w:val="6D903084"/>
    <w:rsid w:val="6D9429F2"/>
    <w:rsid w:val="6DA27FF8"/>
    <w:rsid w:val="6E6762FD"/>
    <w:rsid w:val="6EFF1E99"/>
    <w:rsid w:val="6F2E3518"/>
    <w:rsid w:val="6F3E4B51"/>
    <w:rsid w:val="6F5A1A2F"/>
    <w:rsid w:val="6FA32ACE"/>
    <w:rsid w:val="6FA80A40"/>
    <w:rsid w:val="701A4460"/>
    <w:rsid w:val="70F63422"/>
    <w:rsid w:val="71524287"/>
    <w:rsid w:val="717B7693"/>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615AF7"/>
    <w:rsid w:val="768F5040"/>
    <w:rsid w:val="76B55335"/>
    <w:rsid w:val="76CF38AD"/>
    <w:rsid w:val="77B24188"/>
    <w:rsid w:val="77DD680A"/>
    <w:rsid w:val="7889342D"/>
    <w:rsid w:val="789A2E8C"/>
    <w:rsid w:val="7908342F"/>
    <w:rsid w:val="7967704C"/>
    <w:rsid w:val="79A11556"/>
    <w:rsid w:val="7A1C2C5E"/>
    <w:rsid w:val="7A87523A"/>
    <w:rsid w:val="7AE35C69"/>
    <w:rsid w:val="7B0E5932"/>
    <w:rsid w:val="7B5527F0"/>
    <w:rsid w:val="7B735A7A"/>
    <w:rsid w:val="7B7FB21E"/>
    <w:rsid w:val="7BA577E9"/>
    <w:rsid w:val="7BA94AC9"/>
    <w:rsid w:val="7BB34D31"/>
    <w:rsid w:val="7BF179A9"/>
    <w:rsid w:val="7C37455E"/>
    <w:rsid w:val="7CA9041D"/>
    <w:rsid w:val="7D057841"/>
    <w:rsid w:val="7D4B110B"/>
    <w:rsid w:val="7DBA5B2F"/>
    <w:rsid w:val="7E3855A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9"/>
    <w:autoRedefine/>
    <w:qFormat/>
    <w:uiPriority w:val="0"/>
    <w:pPr>
      <w:tabs>
        <w:tab w:val="center" w:pos="4153"/>
        <w:tab w:val="right" w:pos="8306"/>
      </w:tabs>
      <w:snapToGrid w:val="0"/>
    </w:pPr>
    <w:rPr>
      <w:sz w:val="18"/>
      <w:szCs w:val="18"/>
    </w:rPr>
  </w:style>
  <w:style w:type="paragraph" w:styleId="12">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Title"/>
    <w:basedOn w:val="1"/>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7">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page number"/>
    <w:qFormat/>
    <w:uiPriority w:val="0"/>
  </w:style>
  <w:style w:type="character" w:styleId="23">
    <w:name w:val="Hyperlink"/>
    <w:autoRedefine/>
    <w:qFormat/>
    <w:uiPriority w:val="0"/>
    <w:rPr>
      <w:u w:val="single"/>
    </w:rPr>
  </w:style>
  <w:style w:type="paragraph" w:customStyle="1" w:styleId="24">
    <w:name w:val="BodyText1I2"/>
    <w:basedOn w:val="25"/>
    <w:next w:val="1"/>
    <w:autoRedefine/>
    <w:qFormat/>
    <w:uiPriority w:val="0"/>
  </w:style>
  <w:style w:type="paragraph" w:customStyle="1" w:styleId="25">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6">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7">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0"/>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0"/>
    <w:autoRedefine/>
    <w:qFormat/>
    <w:uiPriority w:val="0"/>
    <w:rPr>
      <w:rFonts w:hint="default" w:ascii="Calibri" w:hAnsi="Calibri" w:cs="Calibri"/>
      <w:color w:val="000000"/>
      <w:sz w:val="18"/>
      <w:szCs w:val="18"/>
      <w:u w:val="none"/>
    </w:rPr>
  </w:style>
  <w:style w:type="character" w:customStyle="1" w:styleId="38">
    <w:name w:val="页眉 字符"/>
    <w:basedOn w:val="20"/>
    <w:link w:val="12"/>
    <w:autoRedefine/>
    <w:qFormat/>
    <w:uiPriority w:val="0"/>
    <w:rPr>
      <w:rFonts w:eastAsia="Arial Unicode MS"/>
      <w:sz w:val="18"/>
      <w:szCs w:val="18"/>
      <w:lang w:eastAsia="en-US"/>
    </w:rPr>
  </w:style>
  <w:style w:type="character" w:customStyle="1" w:styleId="39">
    <w:name w:val="页脚 字符"/>
    <w:basedOn w:val="20"/>
    <w:link w:val="11"/>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171"/>
    <w:basedOn w:val="20"/>
    <w:qFormat/>
    <w:uiPriority w:val="0"/>
    <w:rPr>
      <w:rFonts w:hint="eastAsia" w:ascii="宋体" w:hAnsi="宋体" w:eastAsia="宋体" w:cs="宋体"/>
      <w:b/>
      <w:bCs/>
      <w:color w:val="FF0000"/>
      <w:sz w:val="36"/>
      <w:szCs w:val="36"/>
      <w:u w:val="none"/>
    </w:rPr>
  </w:style>
  <w:style w:type="character" w:customStyle="1" w:styleId="45">
    <w:name w:val="font151"/>
    <w:basedOn w:val="20"/>
    <w:qFormat/>
    <w:uiPriority w:val="0"/>
    <w:rPr>
      <w:rFonts w:hint="eastAsia" w:ascii="宋体" w:hAnsi="宋体" w:eastAsia="宋体" w:cs="宋体"/>
      <w:b/>
      <w:bCs/>
      <w:color w:val="000000"/>
      <w:sz w:val="18"/>
      <w:szCs w:val="18"/>
      <w:u w:val="none"/>
    </w:rPr>
  </w:style>
  <w:style w:type="character" w:customStyle="1" w:styleId="46">
    <w:name w:val="font181"/>
    <w:basedOn w:val="20"/>
    <w:qFormat/>
    <w:uiPriority w:val="0"/>
    <w:rPr>
      <w:rFonts w:hint="eastAsia" w:ascii="宋体" w:hAnsi="宋体" w:eastAsia="宋体" w:cs="宋体"/>
      <w:b/>
      <w:bCs/>
      <w:color w:val="000000"/>
      <w:sz w:val="18"/>
      <w:szCs w:val="18"/>
      <w:u w:val="single"/>
    </w:rPr>
  </w:style>
  <w:style w:type="character" w:customStyle="1" w:styleId="47">
    <w:name w:val="font161"/>
    <w:basedOn w:val="20"/>
    <w:qFormat/>
    <w:uiPriority w:val="0"/>
    <w:rPr>
      <w:rFonts w:hint="eastAsia" w:ascii="宋体" w:hAnsi="宋体" w:eastAsia="宋体" w:cs="宋体"/>
      <w:color w:val="000000"/>
      <w:sz w:val="20"/>
      <w:szCs w:val="20"/>
      <w:u w:val="none"/>
    </w:rPr>
  </w:style>
  <w:style w:type="character" w:customStyle="1" w:styleId="48">
    <w:name w:val="font191"/>
    <w:basedOn w:val="20"/>
    <w:qFormat/>
    <w:uiPriority w:val="0"/>
    <w:rPr>
      <w:rFonts w:hint="default" w:ascii="Arial" w:hAnsi="Arial" w:cs="Arial"/>
      <w:color w:val="000000"/>
      <w:sz w:val="20"/>
      <w:szCs w:val="20"/>
      <w:u w:val="none"/>
    </w:rPr>
  </w:style>
  <w:style w:type="character" w:customStyle="1" w:styleId="49">
    <w:name w:val="font141"/>
    <w:basedOn w:val="20"/>
    <w:qFormat/>
    <w:uiPriority w:val="0"/>
    <w:rPr>
      <w:rFonts w:hint="eastAsia" w:ascii="宋体" w:hAnsi="宋体" w:eastAsia="宋体" w:cs="宋体"/>
      <w:b/>
      <w:bCs/>
      <w:color w:val="FF0000"/>
      <w:sz w:val="36"/>
      <w:szCs w:val="36"/>
      <w:u w:val="none"/>
    </w:rPr>
  </w:style>
  <w:style w:type="character" w:customStyle="1" w:styleId="50">
    <w:name w:val="font121"/>
    <w:basedOn w:val="20"/>
    <w:qFormat/>
    <w:uiPriority w:val="0"/>
    <w:rPr>
      <w:rFonts w:hint="eastAsia" w:ascii="宋体" w:hAnsi="宋体" w:eastAsia="宋体" w:cs="宋体"/>
      <w:b/>
      <w:bCs/>
      <w:color w:val="000000"/>
      <w:sz w:val="18"/>
      <w:szCs w:val="18"/>
      <w:u w:val="none"/>
    </w:rPr>
  </w:style>
  <w:style w:type="character" w:customStyle="1" w:styleId="51">
    <w:name w:val="font1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1452</Words>
  <Characters>1659</Characters>
  <Lines>1</Lines>
  <Paragraphs>1</Paragraphs>
  <TotalTime>0</TotalTime>
  <ScaleCrop>false</ScaleCrop>
  <LinksUpToDate>false</LinksUpToDate>
  <CharactersWithSpaces>1684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2025-04-21T07:35:55Z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59F92464F68244D189176206734A8187_13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