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55DA1">
      <w:pPr>
        <w:framePr w:wrap="auto" w:vAnchor="margin" w:hAnchor="text" w:yAlign="inline"/>
        <w:widowControl w:val="0"/>
        <w:wordWrap w:val="0"/>
        <w:spacing w:line="288" w:lineRule="auto"/>
        <w:jc w:val="center"/>
        <w:rPr>
          <w:rFonts w:hint="eastAsia" w:ascii="宋体" w:hAnsi="宋体" w:eastAsia="宋体" w:cs="宋体"/>
          <w:b/>
          <w:color w:val="auto"/>
          <w:sz w:val="40"/>
          <w:szCs w:val="40"/>
          <w:highlight w:val="none"/>
          <w:lang w:val="en-US" w:eastAsia="zh-CN"/>
        </w:rPr>
      </w:pPr>
    </w:p>
    <w:p w14:paraId="7C5AEC5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2DFD769F">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755E4CD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4525E20B">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0C477BCD">
      <w:pPr>
        <w:framePr w:wrap="auto" w:vAnchor="margin" w:hAnchor="text" w:yAlign="inline"/>
        <w:widowControl w:val="0"/>
        <w:wordWrap w:val="0"/>
        <w:spacing w:line="288" w:lineRule="auto"/>
        <w:jc w:val="center"/>
        <w:rPr>
          <w:rFonts w:hint="eastAsia" w:ascii="宋体" w:hAnsi="宋体" w:eastAsia="宋体" w:cs="宋体"/>
          <w:b/>
          <w:color w:val="auto"/>
          <w:sz w:val="44"/>
          <w:szCs w:val="44"/>
          <w:highlight w:val="none"/>
          <w:u w:val="none"/>
          <w:lang w:val="en-US" w:eastAsia="zh-CN"/>
        </w:rPr>
      </w:pPr>
      <w:r>
        <w:rPr>
          <w:rFonts w:hint="eastAsia" w:ascii="宋体" w:hAnsi="宋体" w:eastAsia="宋体" w:cs="宋体"/>
          <w:b/>
          <w:color w:val="auto"/>
          <w:sz w:val="44"/>
          <w:szCs w:val="44"/>
          <w:highlight w:val="none"/>
          <w:u w:val="none"/>
          <w:lang w:val="en-US" w:eastAsia="zh-CN"/>
        </w:rPr>
        <w:t>广东省惠州市惠东县稔山镇蟹洲海堤水闸重建工程</w:t>
      </w:r>
      <w:r>
        <w:rPr>
          <w:rFonts w:hint="eastAsia" w:ascii="宋体" w:hAnsi="宋体" w:eastAsia="宋体" w:cs="宋体"/>
          <w:b/>
          <w:color w:val="auto"/>
          <w:sz w:val="44"/>
          <w:szCs w:val="44"/>
          <w:highlight w:val="none"/>
          <w:u w:val="none"/>
          <w:lang w:val="en-US" w:eastAsia="zh-CN"/>
        </w:rPr>
        <w:t>（编号11号）商品混凝土</w:t>
      </w:r>
    </w:p>
    <w:p w14:paraId="6F2702FE">
      <w:pPr>
        <w:framePr w:wrap="auto" w:vAnchor="margin" w:hAnchor="text" w:yAlign="inline"/>
        <w:widowControl w:val="0"/>
        <w:wordWrap w:val="0"/>
        <w:spacing w:line="288" w:lineRule="auto"/>
        <w:jc w:val="center"/>
        <w:rPr>
          <w:rFonts w:hint="eastAsia" w:ascii="宋体" w:hAnsi="宋体" w:eastAsia="宋体" w:cs="宋体"/>
          <w:b/>
          <w:color w:val="auto"/>
          <w:sz w:val="44"/>
          <w:szCs w:val="44"/>
          <w:highlight w:val="none"/>
          <w:u w:val="none"/>
          <w:lang w:eastAsia="zh-CN"/>
        </w:rPr>
      </w:pPr>
      <w:r>
        <w:rPr>
          <w:rFonts w:hint="eastAsia" w:ascii="宋体" w:hAnsi="宋体" w:eastAsia="宋体" w:cs="宋体"/>
          <w:b/>
          <w:color w:val="auto"/>
          <w:sz w:val="44"/>
          <w:szCs w:val="44"/>
          <w:highlight w:val="none"/>
          <w:u w:val="none"/>
          <w:lang w:val="en-US" w:eastAsia="zh-CN"/>
        </w:rPr>
        <w:t>竞价</w:t>
      </w:r>
      <w:r>
        <w:rPr>
          <w:rFonts w:hint="eastAsia" w:ascii="宋体" w:hAnsi="宋体" w:eastAsia="宋体" w:cs="宋体"/>
          <w:b/>
          <w:color w:val="auto"/>
          <w:sz w:val="44"/>
          <w:szCs w:val="44"/>
          <w:highlight w:val="none"/>
          <w:u w:val="none"/>
          <w:lang w:eastAsia="zh-CN"/>
        </w:rPr>
        <w:t>文件</w:t>
      </w:r>
    </w:p>
    <w:p w14:paraId="52253012">
      <w:pPr>
        <w:framePr w:wrap="auto" w:vAnchor="margin" w:hAnchor="text" w:yAlign="inline"/>
        <w:widowControl w:val="0"/>
        <w:wordWrap w:val="0"/>
        <w:spacing w:line="288" w:lineRule="auto"/>
        <w:ind w:firstLine="880" w:firstLineChars="200"/>
        <w:jc w:val="both"/>
        <w:rPr>
          <w:rFonts w:hint="eastAsia" w:ascii="宋体" w:hAnsi="宋体" w:eastAsia="宋体" w:cs="宋体"/>
          <w:color w:val="auto"/>
          <w:sz w:val="44"/>
          <w:szCs w:val="44"/>
          <w:highlight w:val="none"/>
          <w:lang w:eastAsia="zh-CN"/>
        </w:rPr>
      </w:pPr>
    </w:p>
    <w:p w14:paraId="4B751C6E">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p>
    <w:p w14:paraId="1F2A3B5C">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14:paraId="79A238D3">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14:paraId="2F3F4CE3">
      <w:pPr>
        <w:pStyle w:val="28"/>
        <w:framePr w:wrap="auto" w:vAnchor="margin" w:hAnchor="text" w:yAlign="inline"/>
        <w:rPr>
          <w:rFonts w:hint="eastAsia" w:ascii="宋体" w:hAnsi="宋体" w:eastAsia="宋体" w:cs="宋体"/>
          <w:color w:val="auto"/>
          <w:highlight w:val="none"/>
          <w:lang w:eastAsia="zh-CN"/>
        </w:rPr>
      </w:pPr>
    </w:p>
    <w:p w14:paraId="31CC510C">
      <w:pPr>
        <w:framePr w:wrap="auto" w:vAnchor="margin" w:hAnchor="text" w:yAlign="inline"/>
        <w:widowControl w:val="0"/>
        <w:wordWrap w:val="0"/>
        <w:spacing w:line="360" w:lineRule="auto"/>
        <w:jc w:val="both"/>
        <w:rPr>
          <w:rFonts w:hint="eastAsia" w:ascii="宋体" w:hAnsi="宋体" w:eastAsia="宋体" w:cs="宋体"/>
          <w:color w:val="auto"/>
          <w:sz w:val="32"/>
          <w:szCs w:val="32"/>
          <w:highlight w:val="none"/>
          <w:lang w:eastAsia="zh-CN"/>
        </w:rPr>
      </w:pPr>
    </w:p>
    <w:p w14:paraId="1D4D4FCE">
      <w:pPr>
        <w:pStyle w:val="28"/>
        <w:rPr>
          <w:rFonts w:hint="eastAsia" w:ascii="宋体" w:hAnsi="宋体" w:eastAsia="宋体" w:cs="宋体"/>
          <w:color w:val="auto"/>
          <w:highlight w:val="none"/>
          <w:lang w:eastAsia="zh-CN"/>
        </w:rPr>
      </w:pPr>
    </w:p>
    <w:p w14:paraId="2A256217">
      <w:pPr>
        <w:pStyle w:val="31"/>
        <w:framePr w:wrap="auto" w:vAnchor="margin" w:hAnchor="text" w:yAlign="inline"/>
        <w:wordWrap w:val="0"/>
        <w:spacing w:line="720" w:lineRule="exact"/>
        <w:jc w:val="center"/>
        <w:rPr>
          <w:rFonts w:hint="eastAsia" w:ascii="宋体" w:hAnsi="宋体" w:eastAsia="宋体" w:cs="宋体"/>
          <w:b/>
          <w:color w:val="auto"/>
          <w:sz w:val="32"/>
          <w:szCs w:val="32"/>
          <w:highlight w:val="none"/>
          <w:lang w:val="en-US" w:eastAsia="zh-CN"/>
        </w:rPr>
      </w:pPr>
      <w:r>
        <w:rPr>
          <w:rFonts w:hint="eastAsia" w:ascii="宋体" w:hAnsi="宋体" w:eastAsia="宋体" w:cs="宋体"/>
          <w:b/>
          <w:color w:val="auto"/>
          <w:sz w:val="32"/>
          <w:szCs w:val="32"/>
          <w:highlight w:val="none"/>
          <w:lang w:val="en-US" w:eastAsia="zh-CN"/>
        </w:rPr>
        <w:t>广东高丰建设工程有限公司</w:t>
      </w:r>
    </w:p>
    <w:p w14:paraId="6630CF56">
      <w:pPr>
        <w:pStyle w:val="31"/>
        <w:framePr w:wrap="auto" w:vAnchor="margin" w:hAnchor="text" w:yAlign="inline"/>
        <w:wordWrap w:val="0"/>
        <w:spacing w:line="720" w:lineRule="exact"/>
        <w:jc w:val="center"/>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lang w:eastAsia="zh-CN"/>
        </w:rPr>
        <w:t>惠州市诚逸咨询有限公司惠东分公司</w:t>
      </w:r>
    </w:p>
    <w:p w14:paraId="2BB404CD">
      <w:pPr>
        <w:pStyle w:val="31"/>
        <w:framePr w:wrap="auto" w:vAnchor="margin" w:hAnchor="text" w:yAlign="inline"/>
        <w:wordWrap w:val="0"/>
        <w:spacing w:line="720" w:lineRule="exact"/>
        <w:jc w:val="center"/>
        <w:rPr>
          <w:rFonts w:hint="eastAsia" w:ascii="宋体" w:hAnsi="宋体" w:eastAsia="宋体" w:cs="宋体"/>
          <w:b/>
          <w:bCs/>
          <w:color w:val="auto"/>
          <w:sz w:val="44"/>
          <w:szCs w:val="44"/>
          <w:highlight w:val="none"/>
          <w:lang w:eastAsia="zh-CN"/>
        </w:rPr>
      </w:pPr>
      <w:r>
        <w:rPr>
          <w:rFonts w:hint="eastAsia" w:ascii="宋体" w:hAnsi="宋体" w:eastAsia="宋体" w:cs="宋体"/>
          <w:b/>
          <w:color w:val="auto"/>
          <w:sz w:val="32"/>
          <w:szCs w:val="32"/>
          <w:highlight w:val="none"/>
          <w:lang w:eastAsia="zh-CN"/>
        </w:rPr>
        <w:t>2024年8月30日</w:t>
      </w:r>
    </w:p>
    <w:p w14:paraId="2E89A99C">
      <w:pPr>
        <w:framePr w:wrap="auto" w:vAnchor="margin" w:hAnchor="text" w:yAlign="inline"/>
        <w:wordWrap w:val="0"/>
        <w:rPr>
          <w:rFonts w:hint="eastAsia" w:ascii="宋体" w:hAnsi="宋体" w:eastAsia="宋体" w:cs="宋体"/>
          <w:b/>
          <w:bCs/>
          <w:color w:val="auto"/>
          <w:sz w:val="44"/>
          <w:szCs w:val="44"/>
          <w:highlight w:val="none"/>
          <w:lang w:val="zh-TW" w:eastAsia="zh-TW"/>
        </w:rPr>
        <w:sectPr>
          <w:headerReference r:id="rId3" w:type="default"/>
          <w:footerReference r:id="rId4"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
          <w:cols w:space="0" w:num="1"/>
          <w:rtlGutter w:val="0"/>
          <w:docGrid w:linePitch="0" w:charSpace="0"/>
        </w:sectPr>
      </w:pPr>
    </w:p>
    <w:p w14:paraId="4D071A2F">
      <w:pPr>
        <w:pStyle w:val="31"/>
        <w:framePr w:wrap="auto" w:vAnchor="margin" w:hAnchor="text" w:yAlign="inline"/>
        <w:wordWrap w:val="0"/>
        <w:spacing w:line="440" w:lineRule="exact"/>
        <w:jc w:val="center"/>
        <w:outlineLvl w:val="9"/>
        <w:rPr>
          <w:rFonts w:hint="eastAsia" w:ascii="宋体" w:hAnsi="宋体" w:eastAsia="宋体" w:cs="宋体"/>
          <w:b/>
          <w:bCs/>
          <w:color w:val="auto"/>
          <w:sz w:val="44"/>
          <w:szCs w:val="44"/>
          <w:highlight w:val="none"/>
          <w:lang w:val="zh-TW" w:eastAsia="zh-TW"/>
        </w:rPr>
      </w:pPr>
      <w:r>
        <w:rPr>
          <w:rFonts w:hint="eastAsia" w:ascii="宋体" w:hAnsi="宋体" w:eastAsia="宋体" w:cs="宋体"/>
          <w:b/>
          <w:bCs/>
          <w:color w:val="auto"/>
          <w:sz w:val="44"/>
          <w:szCs w:val="44"/>
          <w:highlight w:val="none"/>
          <w:lang w:val="zh-TW" w:eastAsia="zh-TW"/>
        </w:rPr>
        <w:t>目    录</w:t>
      </w:r>
    </w:p>
    <w:p w14:paraId="457AD16B">
      <w:pPr>
        <w:pStyle w:val="13"/>
        <w:keepNext w:val="0"/>
        <w:keepLines w:val="0"/>
        <w:pageBreakBefore w:val="0"/>
        <w:framePr w:wrap="auto" w:vAnchor="margin" w:hAnchor="text" w:yAlign="inline"/>
        <w:widowControl/>
        <w:tabs>
          <w:tab w:val="right" w:leader="dot" w:pos="8155"/>
        </w:tabs>
        <w:kinsoku/>
        <w:wordWrap/>
        <w:overflowPunct/>
        <w:topLinePunct w:val="0"/>
        <w:autoSpaceDE/>
        <w:autoSpaceDN/>
        <w:bidi w:val="0"/>
        <w:adjustRightInd/>
        <w:snapToGrid/>
        <w:spacing w:line="480" w:lineRule="auto"/>
        <w:textAlignment w:val="auto"/>
        <w:rPr>
          <w:rFonts w:hint="eastAsia" w:ascii="宋体" w:hAnsi="宋体" w:eastAsia="宋体" w:cs="宋体"/>
          <w:b/>
          <w:bCs/>
          <w:color w:val="auto"/>
          <w:sz w:val="28"/>
          <w:szCs w:val="28"/>
          <w:highlight w:val="none"/>
        </w:rPr>
      </w:pPr>
    </w:p>
    <w:p w14:paraId="12294BBD">
      <w:pPr>
        <w:pStyle w:val="13"/>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
          <w:bCs/>
          <w:color w:val="auto"/>
          <w:sz w:val="36"/>
          <w:szCs w:val="36"/>
          <w:highlight w:val="none"/>
        </w:rPr>
        <w:fldChar w:fldCharType="begin"/>
      </w:r>
      <w:r>
        <w:rPr>
          <w:rFonts w:hint="eastAsia" w:ascii="宋体" w:hAnsi="宋体" w:eastAsia="宋体" w:cs="宋体"/>
          <w:b/>
          <w:bCs/>
          <w:color w:val="auto"/>
          <w:sz w:val="36"/>
          <w:szCs w:val="36"/>
          <w:highlight w:val="none"/>
        </w:rPr>
        <w:instrText xml:space="preserve">TOC \o "1-2" \h \u </w:instrText>
      </w:r>
      <w:r>
        <w:rPr>
          <w:rFonts w:hint="eastAsia" w:ascii="宋体" w:hAnsi="宋体" w:eastAsia="宋体" w:cs="宋体"/>
          <w:b/>
          <w:bCs/>
          <w:color w:val="auto"/>
          <w:sz w:val="36"/>
          <w:szCs w:val="36"/>
          <w:highlight w:val="none"/>
        </w:rPr>
        <w:fldChar w:fldCharType="separate"/>
      </w: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_Toc12296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第一部分</w:t>
      </w:r>
      <w:r>
        <w:rPr>
          <w:rFonts w:hint="eastAsia" w:ascii="宋体" w:hAnsi="宋体" w:eastAsia="宋体" w:cs="宋体"/>
          <w:bCs/>
          <w:color w:val="auto"/>
          <w:sz w:val="36"/>
          <w:szCs w:val="44"/>
          <w:highlight w:val="none"/>
          <w:lang w:val="zh-TW" w:eastAsia="zh-TW"/>
        </w:rPr>
        <w:t xml:space="preserve">  </w:t>
      </w:r>
      <w:r>
        <w:rPr>
          <w:rFonts w:hint="eastAsia" w:ascii="宋体" w:hAnsi="宋体" w:eastAsia="宋体" w:cs="宋体"/>
          <w:bCs/>
          <w:color w:val="auto"/>
          <w:sz w:val="36"/>
          <w:szCs w:val="44"/>
          <w:highlight w:val="none"/>
          <w:lang w:val="en-US" w:eastAsia="zh-CN"/>
        </w:rPr>
        <w:t>竞价</w:t>
      </w:r>
      <w:r>
        <w:rPr>
          <w:rFonts w:hint="eastAsia" w:ascii="宋体" w:hAnsi="宋体" w:eastAsia="宋体" w:cs="宋体"/>
          <w:bCs/>
          <w:color w:val="auto"/>
          <w:sz w:val="36"/>
          <w:szCs w:val="44"/>
          <w:highlight w:val="none"/>
          <w:lang w:val="zh-TW" w:eastAsia="zh-TW"/>
        </w:rPr>
        <w:t>公告</w:t>
      </w:r>
      <w:r>
        <w:rPr>
          <w:color w:val="auto"/>
          <w:sz w:val="36"/>
          <w:szCs w:val="36"/>
        </w:rPr>
        <w:tab/>
      </w:r>
      <w:r>
        <w:rPr>
          <w:color w:val="auto"/>
          <w:sz w:val="36"/>
          <w:szCs w:val="36"/>
        </w:rPr>
        <w:fldChar w:fldCharType="begin"/>
      </w:r>
      <w:r>
        <w:rPr>
          <w:color w:val="auto"/>
          <w:sz w:val="36"/>
          <w:szCs w:val="36"/>
        </w:rPr>
        <w:instrText xml:space="preserve"> PAGEREF _Toc12296 \h </w:instrText>
      </w:r>
      <w:r>
        <w:rPr>
          <w:color w:val="auto"/>
          <w:sz w:val="36"/>
          <w:szCs w:val="36"/>
        </w:rPr>
        <w:fldChar w:fldCharType="separate"/>
      </w:r>
      <w:r>
        <w:rPr>
          <w:color w:val="auto"/>
          <w:sz w:val="36"/>
          <w:szCs w:val="36"/>
        </w:rPr>
        <w:t>3</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7AE4B4E9">
      <w:pPr>
        <w:pStyle w:val="13"/>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_Toc27100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zh-TW" w:eastAsia="zh-TW"/>
        </w:rPr>
        <w:t>第</w:t>
      </w:r>
      <w:r>
        <w:rPr>
          <w:rFonts w:hint="eastAsia" w:ascii="宋体" w:hAnsi="宋体" w:eastAsia="宋体" w:cs="宋体"/>
          <w:bCs/>
          <w:color w:val="auto"/>
          <w:sz w:val="36"/>
          <w:szCs w:val="44"/>
          <w:highlight w:val="none"/>
          <w:lang w:eastAsia="zh-CN"/>
        </w:rPr>
        <w:t>二</w:t>
      </w:r>
      <w:r>
        <w:rPr>
          <w:rFonts w:hint="eastAsia" w:ascii="宋体" w:hAnsi="宋体" w:eastAsia="宋体" w:cs="宋体"/>
          <w:bCs/>
          <w:color w:val="auto"/>
          <w:sz w:val="36"/>
          <w:szCs w:val="44"/>
          <w:highlight w:val="none"/>
          <w:lang w:val="zh-TW" w:eastAsia="zh-TW"/>
        </w:rPr>
        <w:t xml:space="preserve">部分  </w:t>
      </w:r>
      <w:r>
        <w:rPr>
          <w:rFonts w:hint="eastAsia" w:ascii="宋体" w:hAnsi="宋体" w:eastAsia="宋体" w:cs="宋体"/>
          <w:bCs/>
          <w:color w:val="auto"/>
          <w:sz w:val="36"/>
          <w:szCs w:val="44"/>
          <w:highlight w:val="none"/>
          <w:lang w:eastAsia="zh-CN"/>
        </w:rPr>
        <w:t>参选人须知</w:t>
      </w:r>
      <w:r>
        <w:rPr>
          <w:color w:val="auto"/>
          <w:sz w:val="36"/>
          <w:szCs w:val="36"/>
        </w:rPr>
        <w:tab/>
      </w:r>
      <w:r>
        <w:rPr>
          <w:color w:val="auto"/>
          <w:sz w:val="36"/>
          <w:szCs w:val="36"/>
        </w:rPr>
        <w:fldChar w:fldCharType="begin"/>
      </w:r>
      <w:r>
        <w:rPr>
          <w:color w:val="auto"/>
          <w:sz w:val="36"/>
          <w:szCs w:val="36"/>
        </w:rPr>
        <w:instrText xml:space="preserve"> PAGEREF _Toc27100 \h </w:instrText>
      </w:r>
      <w:r>
        <w:rPr>
          <w:color w:val="auto"/>
          <w:sz w:val="36"/>
          <w:szCs w:val="36"/>
        </w:rPr>
        <w:fldChar w:fldCharType="separate"/>
      </w:r>
      <w:r>
        <w:rPr>
          <w:color w:val="auto"/>
          <w:sz w:val="36"/>
          <w:szCs w:val="36"/>
        </w:rPr>
        <w:t>6</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0518A3F5">
      <w:pPr>
        <w:pStyle w:val="13"/>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_Toc19210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第三部分</w:t>
      </w:r>
      <w:r>
        <w:rPr>
          <w:rFonts w:hint="eastAsia" w:ascii="宋体" w:hAnsi="宋体" w:eastAsia="宋体" w:cs="宋体"/>
          <w:bCs/>
          <w:color w:val="auto"/>
          <w:sz w:val="36"/>
          <w:szCs w:val="44"/>
          <w:highlight w:val="none"/>
          <w:lang w:val="zh-TW" w:eastAsia="zh-TW"/>
        </w:rPr>
        <w:t xml:space="preserve">  </w:t>
      </w:r>
      <w:r>
        <w:rPr>
          <w:rFonts w:hint="eastAsia" w:ascii="宋体" w:hAnsi="宋体" w:eastAsia="宋体" w:cs="宋体"/>
          <w:bCs/>
          <w:color w:val="auto"/>
          <w:sz w:val="36"/>
          <w:szCs w:val="44"/>
          <w:highlight w:val="none"/>
          <w:lang w:val="en-US" w:eastAsia="zh-CN"/>
        </w:rPr>
        <w:t>工程量清单</w:t>
      </w:r>
      <w:r>
        <w:rPr>
          <w:color w:val="auto"/>
          <w:sz w:val="36"/>
          <w:szCs w:val="36"/>
        </w:rPr>
        <w:tab/>
      </w:r>
      <w:r>
        <w:rPr>
          <w:color w:val="auto"/>
          <w:sz w:val="36"/>
          <w:szCs w:val="36"/>
        </w:rPr>
        <w:fldChar w:fldCharType="begin"/>
      </w:r>
      <w:r>
        <w:rPr>
          <w:color w:val="auto"/>
          <w:sz w:val="36"/>
          <w:szCs w:val="36"/>
        </w:rPr>
        <w:instrText xml:space="preserve"> PAGEREF _Toc19210 \h </w:instrText>
      </w:r>
      <w:r>
        <w:rPr>
          <w:color w:val="auto"/>
          <w:sz w:val="36"/>
          <w:szCs w:val="36"/>
        </w:rPr>
        <w:fldChar w:fldCharType="separate"/>
      </w:r>
      <w:r>
        <w:rPr>
          <w:color w:val="auto"/>
          <w:sz w:val="36"/>
          <w:szCs w:val="36"/>
        </w:rPr>
        <w:t>12</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58F50C85">
      <w:pPr>
        <w:pStyle w:val="13"/>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_Toc18423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第四部分  评选办法</w:t>
      </w:r>
      <w:r>
        <w:rPr>
          <w:color w:val="auto"/>
          <w:sz w:val="36"/>
          <w:szCs w:val="36"/>
        </w:rPr>
        <w:tab/>
      </w:r>
      <w:r>
        <w:rPr>
          <w:color w:val="auto"/>
          <w:sz w:val="36"/>
          <w:szCs w:val="36"/>
        </w:rPr>
        <w:fldChar w:fldCharType="begin"/>
      </w:r>
      <w:r>
        <w:rPr>
          <w:color w:val="auto"/>
          <w:sz w:val="36"/>
          <w:szCs w:val="36"/>
        </w:rPr>
        <w:instrText xml:space="preserve"> PAGEREF _Toc18423 \h </w:instrText>
      </w:r>
      <w:r>
        <w:rPr>
          <w:color w:val="auto"/>
          <w:sz w:val="36"/>
          <w:szCs w:val="36"/>
        </w:rPr>
        <w:fldChar w:fldCharType="separate"/>
      </w:r>
      <w:r>
        <w:rPr>
          <w:color w:val="auto"/>
          <w:sz w:val="36"/>
          <w:szCs w:val="36"/>
        </w:rPr>
        <w:t>13</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37E49998">
      <w:pPr>
        <w:pStyle w:val="13"/>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_Toc19067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第五部分  合同主要条款</w:t>
      </w:r>
      <w:r>
        <w:rPr>
          <w:color w:val="auto"/>
          <w:sz w:val="36"/>
          <w:szCs w:val="36"/>
        </w:rPr>
        <w:tab/>
      </w:r>
      <w:r>
        <w:rPr>
          <w:color w:val="auto"/>
          <w:sz w:val="36"/>
          <w:szCs w:val="36"/>
        </w:rPr>
        <w:fldChar w:fldCharType="begin"/>
      </w:r>
      <w:r>
        <w:rPr>
          <w:color w:val="auto"/>
          <w:sz w:val="36"/>
          <w:szCs w:val="36"/>
        </w:rPr>
        <w:instrText xml:space="preserve"> PAGEREF _Toc19067 \h </w:instrText>
      </w:r>
      <w:r>
        <w:rPr>
          <w:color w:val="auto"/>
          <w:sz w:val="36"/>
          <w:szCs w:val="36"/>
        </w:rPr>
        <w:fldChar w:fldCharType="separate"/>
      </w:r>
      <w:r>
        <w:rPr>
          <w:color w:val="auto"/>
          <w:sz w:val="36"/>
          <w:szCs w:val="36"/>
        </w:rPr>
        <w:t>14</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54F2F22F">
      <w:pPr>
        <w:pStyle w:val="13"/>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_Toc1788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第六部分  响应文件格式</w:t>
      </w:r>
      <w:r>
        <w:rPr>
          <w:color w:val="auto"/>
          <w:sz w:val="36"/>
          <w:szCs w:val="36"/>
        </w:rPr>
        <w:tab/>
      </w:r>
      <w:r>
        <w:rPr>
          <w:color w:val="auto"/>
          <w:sz w:val="36"/>
          <w:szCs w:val="36"/>
        </w:rPr>
        <w:fldChar w:fldCharType="begin"/>
      </w:r>
      <w:r>
        <w:rPr>
          <w:color w:val="auto"/>
          <w:sz w:val="36"/>
          <w:szCs w:val="36"/>
        </w:rPr>
        <w:instrText xml:space="preserve"> PAGEREF _Toc1788 \h </w:instrText>
      </w:r>
      <w:r>
        <w:rPr>
          <w:color w:val="auto"/>
          <w:sz w:val="36"/>
          <w:szCs w:val="36"/>
        </w:rPr>
        <w:fldChar w:fldCharType="separate"/>
      </w:r>
      <w:r>
        <w:rPr>
          <w:color w:val="auto"/>
          <w:sz w:val="36"/>
          <w:szCs w:val="36"/>
        </w:rPr>
        <w:t>22</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340DCCBF">
      <w:pPr>
        <w:keepNext w:val="0"/>
        <w:keepLines w:val="0"/>
        <w:pageBreakBefore w:val="0"/>
        <w:framePr w:wrap="around" w:vAnchor="page" w:hAnchor="page" w:x="1912" w:y="3091"/>
        <w:widowControl/>
        <w:kinsoku/>
        <w:wordWrap/>
        <w:overflowPunct/>
        <w:topLinePunct w:val="0"/>
        <w:autoSpaceDE/>
        <w:autoSpaceDN/>
        <w:bidi w:val="0"/>
        <w:adjustRightInd/>
        <w:snapToGrid/>
        <w:spacing w:line="720" w:lineRule="auto"/>
        <w:textAlignment w:val="auto"/>
        <w:rPr>
          <w:rFonts w:hint="eastAsia" w:ascii="宋体" w:hAnsi="宋体" w:eastAsia="宋体" w:cs="宋体"/>
          <w:b/>
          <w:bCs/>
          <w:color w:val="auto"/>
          <w:sz w:val="36"/>
          <w:szCs w:val="36"/>
          <w:highlight w:val="none"/>
        </w:rPr>
      </w:pPr>
      <w:r>
        <w:rPr>
          <w:rFonts w:hint="eastAsia" w:ascii="宋体" w:hAnsi="宋体" w:eastAsia="宋体" w:cs="宋体"/>
          <w:bCs/>
          <w:color w:val="auto"/>
          <w:sz w:val="36"/>
          <w:szCs w:val="36"/>
          <w:highlight w:val="none"/>
        </w:rPr>
        <w:fldChar w:fldCharType="end"/>
      </w:r>
    </w:p>
    <w:p w14:paraId="593E6214">
      <w:pPr>
        <w:pStyle w:val="31"/>
        <w:framePr w:wrap="auto" w:vAnchor="margin" w:hAnchor="text" w:yAlign="inline"/>
        <w:wordWrap w:val="0"/>
        <w:spacing w:line="440" w:lineRule="exact"/>
        <w:jc w:val="both"/>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color w:val="auto"/>
          <w:sz w:val="32"/>
          <w:szCs w:val="32"/>
          <w:highlight w:val="none"/>
        </w:rPr>
        <w:br w:type="page"/>
      </w:r>
    </w:p>
    <w:p w14:paraId="0F32ED90">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zh-TW" w:eastAsia="zh-TW"/>
        </w:rPr>
      </w:pPr>
      <w:bookmarkStart w:id="0" w:name="_Toc32465"/>
      <w:bookmarkStart w:id="1" w:name="_Toc12296"/>
      <w:bookmarkStart w:id="27" w:name="_GoBack"/>
      <w:bookmarkEnd w:id="27"/>
      <w:r>
        <w:rPr>
          <w:rFonts w:hint="eastAsia" w:ascii="宋体" w:hAnsi="宋体" w:eastAsia="宋体" w:cs="宋体"/>
          <w:b/>
          <w:bCs/>
          <w:color w:val="auto"/>
          <w:sz w:val="32"/>
          <w:szCs w:val="32"/>
          <w:highlight w:val="none"/>
          <w:lang w:val="en-US" w:eastAsia="zh-CN"/>
        </w:rPr>
        <w:t>第一部分</w:t>
      </w:r>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val="en-US" w:eastAsia="zh-CN"/>
        </w:rPr>
        <w:t>竞价</w:t>
      </w:r>
      <w:r>
        <w:rPr>
          <w:rFonts w:hint="eastAsia" w:ascii="宋体" w:hAnsi="宋体" w:eastAsia="宋体" w:cs="宋体"/>
          <w:b/>
          <w:bCs/>
          <w:color w:val="auto"/>
          <w:sz w:val="32"/>
          <w:szCs w:val="32"/>
          <w:highlight w:val="none"/>
          <w:lang w:val="zh-TW" w:eastAsia="zh-TW"/>
        </w:rPr>
        <w:t>公告</w:t>
      </w:r>
      <w:bookmarkEnd w:id="0"/>
      <w:bookmarkEnd w:id="1"/>
    </w:p>
    <w:p w14:paraId="13AEA6A6">
      <w:pPr>
        <w:keepNext w:val="0"/>
        <w:keepLines w:val="0"/>
        <w:pageBreakBefore w:val="0"/>
        <w:framePr w:wrap="auto" w:vAnchor="margin" w:hAnchor="text" w:yAlign="inline"/>
        <w:widowControl w:val="0"/>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bookmarkStart w:id="2" w:name="_Toc144974496"/>
      <w:bookmarkStart w:id="3" w:name="_Toc500491903"/>
      <w:bookmarkStart w:id="4" w:name="_Toc229646710"/>
      <w:bookmarkStart w:id="5" w:name="_Toc7164"/>
      <w:bookmarkStart w:id="6" w:name="_Toc16761"/>
      <w:bookmarkStart w:id="7" w:name="_Toc16780"/>
      <w:bookmarkStart w:id="8" w:name="_Toc21380"/>
      <w:bookmarkStart w:id="9" w:name="_Toc152042304"/>
      <w:bookmarkStart w:id="10" w:name="_Toc392345907"/>
      <w:bookmarkStart w:id="11" w:name="_Toc31806"/>
      <w:bookmarkStart w:id="12" w:name="_Toc152045528"/>
      <w:r>
        <w:rPr>
          <w:rFonts w:hint="eastAsia" w:ascii="宋体" w:hAnsi="宋体" w:eastAsia="宋体" w:cs="宋体"/>
          <w:color w:val="auto"/>
          <w:sz w:val="28"/>
          <w:szCs w:val="28"/>
          <w:highlight w:val="none"/>
          <w:u w:val="none" w:color="auto"/>
          <w:lang w:val="en-US" w:eastAsia="zh-CN"/>
        </w:rPr>
        <w:t>惠州市诚逸咨询有限公司惠东分公司（以下简称“采购代理机构”）受广东高丰建设工程有限公司（以下简称“采购人</w:t>
      </w:r>
      <w:r>
        <w:rPr>
          <w:rFonts w:hint="default" w:ascii="宋体" w:hAnsi="宋体" w:eastAsia="宋体" w:cs="宋体"/>
          <w:color w:val="auto"/>
          <w:sz w:val="28"/>
          <w:szCs w:val="28"/>
          <w:highlight w:val="none"/>
          <w:u w:val="none" w:color="auto"/>
          <w:lang w:val="en-US" w:eastAsia="zh-CN"/>
        </w:rPr>
        <w:t>”</w:t>
      </w:r>
      <w:r>
        <w:rPr>
          <w:rFonts w:hint="eastAsia" w:ascii="宋体" w:hAnsi="宋体" w:eastAsia="宋体" w:cs="宋体"/>
          <w:color w:val="auto"/>
          <w:sz w:val="28"/>
          <w:szCs w:val="28"/>
          <w:highlight w:val="none"/>
          <w:u w:val="none" w:color="auto"/>
          <w:lang w:val="en-US" w:eastAsia="zh-CN"/>
        </w:rPr>
        <w:t>）的委托，诚邀国内合格参选人就广东省惠州市惠东县稔山镇蟹洲海堤水闸重建工程</w:t>
      </w:r>
      <w:r>
        <w:rPr>
          <w:rFonts w:hint="eastAsia" w:ascii="宋体" w:hAnsi="宋体" w:eastAsia="宋体" w:cs="宋体"/>
          <w:color w:val="auto"/>
          <w:sz w:val="28"/>
          <w:szCs w:val="28"/>
          <w:highlight w:val="none"/>
          <w:u w:val="none" w:color="auto"/>
          <w:lang w:val="en-US" w:eastAsia="zh-CN"/>
        </w:rPr>
        <w:t>（编号11号）商品混凝土</w:t>
      </w:r>
      <w:r>
        <w:rPr>
          <w:rFonts w:hint="eastAsia" w:ascii="宋体" w:hAnsi="宋体" w:eastAsia="宋体" w:cs="宋体"/>
          <w:b w:val="0"/>
          <w:bCs w:val="0"/>
          <w:i w:val="0"/>
          <w:iCs w:val="0"/>
          <w:caps w:val="0"/>
          <w:color w:val="auto"/>
          <w:spacing w:val="0"/>
          <w:kern w:val="0"/>
          <w:sz w:val="28"/>
          <w:szCs w:val="28"/>
          <w:highlight w:val="none"/>
          <w:u w:val="none" w:color="auto"/>
          <w:shd w:val="clear" w:fill="FFFFFF"/>
          <w:lang w:val="en-US" w:eastAsia="zh-CN" w:bidi="ar"/>
        </w:rPr>
        <w:t>的采购(以下称</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“项目”或“本项目”)（项目编号：</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HZCY2024009-11</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）提交竞价申请文件：</w:t>
      </w:r>
    </w:p>
    <w:p w14:paraId="63361F1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一、</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方式：</w:t>
      </w:r>
      <w:r>
        <w:rPr>
          <w:rFonts w:hint="eastAsia" w:ascii="宋体" w:hAnsi="宋体" w:eastAsia="宋体" w:cs="宋体"/>
          <w:color w:val="auto"/>
          <w:sz w:val="28"/>
          <w:szCs w:val="28"/>
          <w:highlight w:val="none"/>
        </w:rPr>
        <w:t>公开</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竞价</w:t>
      </w:r>
    </w:p>
    <w:p w14:paraId="5AEDDFF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二、项目概况与</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0625568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val="0"/>
          <w:bCs w:val="0"/>
          <w:color w:val="auto"/>
          <w:sz w:val="28"/>
          <w:szCs w:val="28"/>
          <w:highlight w:val="none"/>
        </w:rPr>
      </w:pPr>
      <w:r>
        <w:rPr>
          <w:rFonts w:hint="eastAsia" w:ascii="宋体" w:hAnsi="宋体" w:eastAsia="宋体" w:cs="宋体"/>
          <w:b/>
          <w:bCs/>
          <w:color w:val="auto"/>
          <w:sz w:val="28"/>
          <w:szCs w:val="28"/>
          <w:highlight w:val="none"/>
        </w:rPr>
        <w:t>1、项目概况：</w:t>
      </w:r>
    </w:p>
    <w:p w14:paraId="2F7F58CE">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default"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工程建设地点位于惠州市惠东县稔山镇，1孔左岸排水闸，7孔拦河水闸，左、右岸岸墙以及其他配套附属设施。</w:t>
      </w:r>
    </w:p>
    <w:p w14:paraId="6D29DF7A">
      <w:pPr>
        <w:pStyle w:val="15"/>
        <w:keepNext w:val="0"/>
        <w:keepLines w:val="0"/>
        <w:pageBreakBefore w:val="0"/>
        <w:framePr w:wrap="auto" w:vAnchor="margin" w:hAnchor="text" w:yAlign="inline"/>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color w:val="auto"/>
          <w:sz w:val="28"/>
          <w:szCs w:val="28"/>
          <w:highlight w:val="none"/>
          <w:u w:val="single"/>
          <w:lang w:val="en-US" w:eastAsia="zh-CN"/>
        </w:rPr>
      </w:pP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28567041">
      <w:pPr>
        <w:pStyle w:val="15"/>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rightChars="0" w:firstLine="560" w:firstLineChars="200"/>
        <w:jc w:val="left"/>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eastAsia="zh-CN"/>
        </w:rPr>
        <w:t>承包人现场施工所需的</w:t>
      </w:r>
      <w:r>
        <w:rPr>
          <w:rFonts w:hint="eastAsia" w:ascii="宋体" w:hAnsi="宋体" w:eastAsia="宋体" w:cs="宋体"/>
          <w:color w:val="auto"/>
          <w:sz w:val="28"/>
          <w:szCs w:val="28"/>
          <w:highlight w:val="none"/>
          <w:u w:val="none"/>
          <w:lang w:eastAsia="zh-CN"/>
        </w:rPr>
        <w:t>商品混凝土</w:t>
      </w:r>
    </w:p>
    <w:p w14:paraId="69D08C01">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Style w:val="21"/>
          <w:rFonts w:hint="eastAsia" w:ascii="宋体" w:hAnsi="宋体" w:eastAsia="宋体" w:cs="宋体"/>
          <w:i w:val="0"/>
          <w:iCs w:val="0"/>
          <w:caps w:val="0"/>
          <w:color w:val="auto"/>
          <w:spacing w:val="0"/>
          <w:sz w:val="28"/>
          <w:szCs w:val="28"/>
          <w:highlight w:val="none"/>
          <w:u w:val="none"/>
          <w:shd w:val="clear" w:fill="FFFFFF"/>
        </w:rPr>
        <w:t>三、</w:t>
      </w:r>
      <w:r>
        <w:rPr>
          <w:rStyle w:val="21"/>
          <w:rFonts w:hint="eastAsia" w:ascii="宋体" w:hAnsi="宋体" w:eastAsia="宋体" w:cs="宋体"/>
          <w:i w:val="0"/>
          <w:iCs w:val="0"/>
          <w:caps w:val="0"/>
          <w:color w:val="auto"/>
          <w:spacing w:val="0"/>
          <w:sz w:val="28"/>
          <w:szCs w:val="28"/>
          <w:highlight w:val="none"/>
          <w:u w:val="none"/>
          <w:shd w:val="clear" w:fill="FFFFFF"/>
          <w:lang w:eastAsia="zh-CN"/>
        </w:rPr>
        <w:t>参选人</w:t>
      </w:r>
      <w:r>
        <w:rPr>
          <w:rStyle w:val="21"/>
          <w:rFonts w:hint="eastAsia" w:ascii="宋体" w:hAnsi="宋体" w:eastAsia="宋体" w:cs="宋体"/>
          <w:i w:val="0"/>
          <w:iCs w:val="0"/>
          <w:caps w:val="0"/>
          <w:color w:val="auto"/>
          <w:spacing w:val="0"/>
          <w:sz w:val="28"/>
          <w:szCs w:val="28"/>
          <w:highlight w:val="none"/>
          <w:u w:val="none"/>
          <w:shd w:val="clear" w:fill="FFFFFF"/>
        </w:rPr>
        <w:t>资格要求</w:t>
      </w:r>
    </w:p>
    <w:p w14:paraId="70992D1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在中华人民共和国境内注册的法人或其他组织，</w:t>
      </w:r>
      <w:r>
        <w:rPr>
          <w:rFonts w:hint="eastAsia" w:ascii="宋体" w:hAnsi="宋体" w:eastAsia="宋体" w:cs="宋体"/>
          <w:color w:val="auto"/>
          <w:sz w:val="28"/>
          <w:szCs w:val="28"/>
          <w:highlight w:val="none"/>
          <w:lang w:val="en-US" w:eastAsia="zh-CN"/>
        </w:rPr>
        <w:t>参选</w:t>
      </w:r>
      <w:r>
        <w:rPr>
          <w:rFonts w:hint="eastAsia" w:ascii="宋体" w:hAnsi="宋体" w:eastAsia="宋体" w:cs="宋体"/>
          <w:color w:val="auto"/>
          <w:sz w:val="28"/>
          <w:szCs w:val="28"/>
          <w:highlight w:val="none"/>
          <w:lang w:eastAsia="zh-CN"/>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color w:val="auto"/>
          <w:sz w:val="28"/>
          <w:szCs w:val="28"/>
          <w:highlight w:val="none"/>
          <w:lang w:val="en-US" w:eastAsia="zh-CN"/>
        </w:rPr>
        <w:t>。</w:t>
      </w:r>
    </w:p>
    <w:p w14:paraId="48B13E5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与采购人存在利害关系可能影响采购公正性的法人、其他组织或者个人，不得参加本项目响应；单位负责人为同一人或者存在控股（含法定代表人控股）、管理关系的不同单位，不得参加同一项目响应，否则均按否决响应处理。</w:t>
      </w:r>
    </w:p>
    <w:p w14:paraId="69B0D81D">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3、</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2235567F">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本次采购不接受联合体响应。</w:t>
      </w:r>
    </w:p>
    <w:p w14:paraId="74033BC7">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w:t>
      </w: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竞价文件</w:t>
      </w:r>
      <w:r>
        <w:rPr>
          <w:rFonts w:hint="eastAsia" w:ascii="宋体" w:hAnsi="宋体" w:eastAsia="宋体" w:cs="宋体"/>
          <w:b/>
          <w:bCs/>
          <w:color w:val="auto"/>
          <w:sz w:val="28"/>
          <w:szCs w:val="28"/>
          <w:highlight w:val="none"/>
        </w:rPr>
        <w:t>的获取</w:t>
      </w:r>
    </w:p>
    <w:p w14:paraId="045988C5">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1、本项目</w:t>
      </w:r>
      <w:r>
        <w:rPr>
          <w:rFonts w:hint="eastAsia" w:ascii="宋体" w:hAnsi="宋体" w:eastAsia="宋体" w:cs="宋体"/>
          <w:color w:val="auto"/>
          <w:sz w:val="28"/>
          <w:szCs w:val="28"/>
          <w:highlight w:val="none"/>
          <w:lang w:eastAsia="zh-CN"/>
        </w:rPr>
        <w:t>竞价文件</w:t>
      </w:r>
      <w:r>
        <w:rPr>
          <w:rFonts w:hint="eastAsia" w:ascii="宋体" w:hAnsi="宋体" w:eastAsia="宋体" w:cs="宋体"/>
          <w:color w:val="auto"/>
          <w:sz w:val="28"/>
          <w:szCs w:val="28"/>
          <w:highlight w:val="none"/>
        </w:rPr>
        <w:t>、补遗书（补充、澄清、修改文件）以网上下载方式发放。如需图纸请自行联系本项目联系人获取。</w:t>
      </w:r>
    </w:p>
    <w:p w14:paraId="30896EA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2、澄清、补充、修改等更正补充公告请自行登录</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进行下载，</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人不再另行通知。</w:t>
      </w:r>
    </w:p>
    <w:p w14:paraId="3903C330">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五、响应文件的递交</w:t>
      </w:r>
    </w:p>
    <w:p w14:paraId="7683C924">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人不统一组织工程现场踏勘和响应预备会,响应人视需要自行前往现场踏勘。</w:t>
      </w:r>
    </w:p>
    <w:p w14:paraId="0B12934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2、响应文</w:t>
      </w:r>
      <w:r>
        <w:rPr>
          <w:rFonts w:hint="eastAsia" w:ascii="宋体" w:hAnsi="宋体" w:eastAsia="宋体" w:cs="宋体"/>
          <w:color w:val="auto"/>
          <w:sz w:val="28"/>
          <w:szCs w:val="28"/>
          <w:highlight w:val="none"/>
          <w:u w:val="single" w:color="auto"/>
        </w:rPr>
        <w:t>件递交的截止时间</w:t>
      </w:r>
      <w:r>
        <w:rPr>
          <w:rFonts w:hint="eastAsia" w:ascii="宋体" w:hAnsi="宋体" w:eastAsia="宋体" w:cs="宋体"/>
          <w:color w:val="auto"/>
          <w:sz w:val="28"/>
          <w:szCs w:val="28"/>
          <w:highlight w:val="none"/>
          <w:u w:val="single" w:color="auto"/>
          <w:lang w:eastAsia="zh-CN"/>
        </w:rPr>
        <w:t>：</w:t>
      </w:r>
      <w:r>
        <w:rPr>
          <w:rFonts w:hint="eastAsia" w:ascii="宋体" w:hAnsi="宋体" w:eastAsia="宋体" w:cs="宋体"/>
          <w:color w:val="auto"/>
          <w:sz w:val="28"/>
          <w:szCs w:val="28"/>
          <w:highlight w:val="none"/>
          <w:u w:val="single" w:color="auto"/>
          <w:lang w:eastAsia="zh-CN"/>
        </w:rPr>
        <w:t>2024年9月3日</w:t>
      </w:r>
      <w:r>
        <w:rPr>
          <w:rFonts w:hint="eastAsia" w:ascii="宋体" w:hAnsi="宋体" w:eastAsia="宋体" w:cs="宋体"/>
          <w:color w:val="auto"/>
          <w:sz w:val="28"/>
          <w:szCs w:val="28"/>
          <w:highlight w:val="none"/>
          <w:u w:val="single" w:color="auto"/>
          <w:lang w:eastAsia="zh-CN"/>
        </w:rPr>
        <w:t>12:00。</w:t>
      </w:r>
    </w:p>
    <w:p w14:paraId="5A590A9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3、响应文件递交方式：纸质响应文件采用现场递交或邮寄方式，递交（邮寄</w:t>
      </w:r>
      <w:r>
        <w:rPr>
          <w:rFonts w:hint="eastAsia" w:ascii="宋体" w:hAnsi="宋体" w:eastAsia="宋体" w:cs="宋体"/>
          <w:color w:val="auto"/>
          <w:sz w:val="28"/>
          <w:szCs w:val="28"/>
          <w:highlight w:val="none"/>
          <w:u w:val="none" w:color="auto"/>
        </w:rPr>
        <w:t>）地址：</w:t>
      </w:r>
      <w:r>
        <w:rPr>
          <w:rFonts w:hint="eastAsia" w:ascii="宋体" w:hAnsi="宋体" w:eastAsia="宋体" w:cs="宋体"/>
          <w:b w:val="0"/>
          <w:bCs w:val="0"/>
          <w:i w:val="0"/>
          <w:iCs w:val="0"/>
          <w:caps w:val="0"/>
          <w:color w:val="auto"/>
          <w:spacing w:val="0"/>
          <w:sz w:val="28"/>
          <w:szCs w:val="28"/>
          <w:highlight w:val="none"/>
          <w:u w:val="single"/>
          <w:shd w:val="clear" w:fill="FFFFFF"/>
          <w:lang w:val="en-US" w:eastAsia="zh-CN"/>
        </w:rPr>
        <w:t>惠州市惠东县惠东大道1212号公路事务养护中心4楼高丰公司</w:t>
      </w:r>
      <w:r>
        <w:rPr>
          <w:rFonts w:hint="eastAsia" w:ascii="宋体" w:hAnsi="宋体" w:eastAsia="宋体" w:cs="宋体"/>
          <w:color w:val="auto"/>
          <w:sz w:val="28"/>
          <w:szCs w:val="28"/>
          <w:highlight w:val="none"/>
        </w:rPr>
        <w:t>。</w:t>
      </w:r>
    </w:p>
    <w:p w14:paraId="24CC220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color w:val="auto"/>
          <w:sz w:val="28"/>
          <w:szCs w:val="28"/>
          <w:highlight w:val="none"/>
        </w:rPr>
        <w:t>4、逾期送达或未密封将予以拒收。</w:t>
      </w:r>
    </w:p>
    <w:p w14:paraId="2160FD6B">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六、发布公告的媒介</w:t>
      </w:r>
    </w:p>
    <w:p w14:paraId="0D50647C">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本次</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采购公告</w:t>
      </w:r>
      <w:r>
        <w:rPr>
          <w:rFonts w:hint="eastAsia" w:ascii="宋体" w:hAnsi="宋体" w:eastAsia="宋体" w:cs="宋体"/>
          <w:color w:val="auto"/>
          <w:sz w:val="28"/>
          <w:szCs w:val="28"/>
          <w:highlight w:val="none"/>
        </w:rPr>
        <w:t>在</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上发布。</w:t>
      </w:r>
    </w:p>
    <w:p w14:paraId="623DD060">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七、联系方式：</w:t>
      </w:r>
    </w:p>
    <w:p w14:paraId="59AAA626">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1.采购人信息</w:t>
      </w:r>
    </w:p>
    <w:p w14:paraId="101E884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名称：广东高丰建设工程有限公司</w:t>
      </w:r>
    </w:p>
    <w:p w14:paraId="10A30D8B">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46541B5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0752-8906003</w:t>
      </w:r>
    </w:p>
    <w:p w14:paraId="6A3BB6AA">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2.采购代理机构信息</w:t>
      </w:r>
    </w:p>
    <w:p w14:paraId="1136A71C">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名称：惠州市诚逸咨询有限公司惠东分公司</w:t>
      </w:r>
    </w:p>
    <w:p w14:paraId="2336CE2A">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惠东县大岭镇新安坑口桥头第3层</w:t>
      </w:r>
    </w:p>
    <w:p w14:paraId="1B9EDF10">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0752-3798001</w:t>
      </w:r>
    </w:p>
    <w:p w14:paraId="1CCED735">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p>
    <w:p w14:paraId="2B46061C">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leftChars="0" w:right="-106" w:rightChars="-44" w:firstLine="238" w:firstLineChars="85"/>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p>
    <w:p w14:paraId="0C65A051">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采购人：广东高丰建设工程有限公司</w:t>
      </w:r>
    </w:p>
    <w:p w14:paraId="248F7903">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采购代理机构：惠州市诚逸咨询有限公司惠东分公司</w:t>
      </w:r>
    </w:p>
    <w:p w14:paraId="37CCBE6B">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公告发布时间：</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2024年8月30日</w:t>
      </w:r>
    </w:p>
    <w:p w14:paraId="14C217BF">
      <w:pPr>
        <w:framePr w:wrap="auto" w:vAnchor="margin" w:hAnchor="text" w:yAlign="inline"/>
        <w:rPr>
          <w:rFonts w:hint="eastAsia" w:ascii="宋体" w:hAnsi="宋体" w:eastAsia="宋体" w:cs="宋体"/>
          <w:b/>
          <w:bCs/>
          <w:color w:val="auto"/>
          <w:sz w:val="32"/>
          <w:szCs w:val="32"/>
          <w:highlight w:val="none"/>
          <w:lang w:val="zh-TW" w:eastAsia="zh-TW"/>
        </w:rPr>
      </w:pPr>
    </w:p>
    <w:p w14:paraId="61BC0AF9">
      <w:pPr>
        <w:framePr w:wrap="auto" w:vAnchor="margin" w:hAnchor="text" w:yAlign="inline"/>
        <w:rPr>
          <w:rFonts w:hint="eastAsia" w:ascii="宋体" w:hAnsi="宋体" w:eastAsia="宋体" w:cs="宋体"/>
          <w:b/>
          <w:bCs/>
          <w:color w:val="auto"/>
          <w:sz w:val="32"/>
          <w:szCs w:val="32"/>
          <w:highlight w:val="none"/>
          <w:lang w:val="zh-TW" w:eastAsia="zh-TW"/>
        </w:rPr>
      </w:pPr>
    </w:p>
    <w:p w14:paraId="687C0335">
      <w:pPr>
        <w:framePr w:wrap="auto" w:vAnchor="margin" w:hAnchor="text" w:yAlign="inline"/>
        <w:rPr>
          <w:rFonts w:hint="eastAsia" w:ascii="宋体" w:hAnsi="宋体" w:eastAsia="宋体" w:cs="宋体"/>
          <w:b/>
          <w:bCs/>
          <w:color w:val="auto"/>
          <w:sz w:val="32"/>
          <w:szCs w:val="32"/>
          <w:highlight w:val="none"/>
          <w:lang w:val="zh-TW" w:eastAsia="zh-TW"/>
        </w:rPr>
      </w:pPr>
      <w:r>
        <w:rPr>
          <w:rFonts w:hint="eastAsia" w:ascii="宋体" w:hAnsi="宋体" w:eastAsia="宋体" w:cs="宋体"/>
          <w:b/>
          <w:bCs/>
          <w:color w:val="auto"/>
          <w:sz w:val="32"/>
          <w:szCs w:val="32"/>
          <w:highlight w:val="none"/>
          <w:lang w:val="zh-TW" w:eastAsia="zh-TW"/>
        </w:rPr>
        <w:br w:type="page"/>
      </w:r>
    </w:p>
    <w:p w14:paraId="1FF202B8">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color w:val="auto"/>
          <w:sz w:val="28"/>
          <w:szCs w:val="28"/>
          <w:highlight w:val="none"/>
          <w:lang w:eastAsia="zh-CN"/>
        </w:rPr>
      </w:pPr>
      <w:bookmarkStart w:id="13" w:name="_Toc29038"/>
      <w:bookmarkStart w:id="14" w:name="_Toc27100"/>
      <w:r>
        <w:rPr>
          <w:rFonts w:hint="eastAsia" w:ascii="宋体" w:hAnsi="宋体" w:eastAsia="宋体" w:cs="宋体"/>
          <w:b/>
          <w:bCs/>
          <w:color w:val="auto"/>
          <w:sz w:val="32"/>
          <w:szCs w:val="32"/>
          <w:highlight w:val="none"/>
          <w:lang w:val="zh-TW" w:eastAsia="zh-TW"/>
        </w:rPr>
        <w:t>第</w:t>
      </w:r>
      <w:r>
        <w:rPr>
          <w:rFonts w:hint="eastAsia" w:ascii="宋体" w:hAnsi="宋体" w:eastAsia="宋体" w:cs="宋体"/>
          <w:b/>
          <w:bCs/>
          <w:color w:val="auto"/>
          <w:sz w:val="32"/>
          <w:szCs w:val="32"/>
          <w:highlight w:val="none"/>
          <w:lang w:eastAsia="zh-CN"/>
        </w:rPr>
        <w:t>二</w:t>
      </w:r>
      <w:r>
        <w:rPr>
          <w:rFonts w:hint="eastAsia" w:ascii="宋体" w:hAnsi="宋体" w:eastAsia="宋体" w:cs="宋体"/>
          <w:b/>
          <w:bCs/>
          <w:color w:val="auto"/>
          <w:sz w:val="32"/>
          <w:szCs w:val="32"/>
          <w:highlight w:val="none"/>
          <w:lang w:val="zh-TW" w:eastAsia="zh-TW"/>
        </w:rPr>
        <w:t xml:space="preserve">部分 </w:t>
      </w:r>
      <w:bookmarkEnd w:id="2"/>
      <w:bookmarkEnd w:id="3"/>
      <w:bookmarkEnd w:id="4"/>
      <w:bookmarkEnd w:id="5"/>
      <w:bookmarkEnd w:id="6"/>
      <w:bookmarkEnd w:id="7"/>
      <w:bookmarkEnd w:id="8"/>
      <w:bookmarkEnd w:id="9"/>
      <w:bookmarkEnd w:id="10"/>
      <w:bookmarkEnd w:id="11"/>
      <w:bookmarkEnd w:id="12"/>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eastAsia="zh-CN"/>
        </w:rPr>
        <w:t>参选人须知</w:t>
      </w:r>
      <w:bookmarkEnd w:id="13"/>
      <w:bookmarkEnd w:id="14"/>
    </w:p>
    <w:tbl>
      <w:tblPr>
        <w:tblStyle w:val="18"/>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1933"/>
        <w:gridCol w:w="5932"/>
      </w:tblGrid>
      <w:tr w14:paraId="1D2BA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630068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序号</w:t>
            </w:r>
          </w:p>
        </w:tc>
        <w:tc>
          <w:tcPr>
            <w:tcW w:w="1123" w:type="pct"/>
            <w:noWrap w:val="0"/>
            <w:vAlign w:val="center"/>
          </w:tcPr>
          <w:p w14:paraId="62532E6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条款名称</w:t>
            </w:r>
          </w:p>
        </w:tc>
        <w:tc>
          <w:tcPr>
            <w:tcW w:w="3445" w:type="pct"/>
            <w:noWrap w:val="0"/>
            <w:vAlign w:val="center"/>
          </w:tcPr>
          <w:p w14:paraId="254610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编列内容</w:t>
            </w:r>
          </w:p>
        </w:tc>
      </w:tr>
      <w:tr w14:paraId="71850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57353C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p>
        </w:tc>
        <w:tc>
          <w:tcPr>
            <w:tcW w:w="1123" w:type="pct"/>
            <w:noWrap w:val="0"/>
            <w:vAlign w:val="center"/>
          </w:tcPr>
          <w:p w14:paraId="5C95A5C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w:t>
            </w:r>
          </w:p>
        </w:tc>
        <w:tc>
          <w:tcPr>
            <w:tcW w:w="3445" w:type="pct"/>
            <w:noWrap w:val="0"/>
            <w:vAlign w:val="center"/>
          </w:tcPr>
          <w:p w14:paraId="292AA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w:t>
            </w:r>
            <w:r>
              <w:rPr>
                <w:rFonts w:hint="eastAsia" w:ascii="宋体" w:hAnsi="宋体" w:eastAsia="宋体" w:cs="宋体"/>
                <w:color w:val="auto"/>
                <w:sz w:val="28"/>
                <w:szCs w:val="28"/>
                <w:highlight w:val="none"/>
                <w:lang w:val="en-US" w:eastAsia="zh-CN"/>
              </w:rPr>
              <w:t>广东高丰建设工程有限公司</w:t>
            </w:r>
          </w:p>
          <w:p w14:paraId="6DB4719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1322942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电话：</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0752-8906003</w:t>
            </w:r>
          </w:p>
        </w:tc>
      </w:tr>
      <w:tr w14:paraId="67FF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6073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p>
        </w:tc>
        <w:tc>
          <w:tcPr>
            <w:tcW w:w="1123" w:type="pct"/>
            <w:noWrap w:val="0"/>
            <w:vAlign w:val="center"/>
          </w:tcPr>
          <w:p w14:paraId="51E7A5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项目名称</w:t>
            </w:r>
          </w:p>
        </w:tc>
        <w:tc>
          <w:tcPr>
            <w:tcW w:w="3445" w:type="pct"/>
            <w:noWrap w:val="0"/>
            <w:vAlign w:val="center"/>
          </w:tcPr>
          <w:p w14:paraId="324709B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b w:val="0"/>
                <w:bCs w:val="0"/>
                <w:i w:val="0"/>
                <w:iCs w:val="0"/>
                <w:caps w:val="0"/>
                <w:color w:val="auto"/>
                <w:spacing w:val="0"/>
                <w:kern w:val="0"/>
                <w:sz w:val="28"/>
                <w:szCs w:val="28"/>
                <w:highlight w:val="none"/>
                <w:u w:val="none"/>
                <w:shd w:val="clear" w:color="auto" w:fill="FFFFFF"/>
                <w:lang w:val="en-US" w:eastAsia="zh-CN" w:bidi="ar"/>
              </w:rPr>
              <w:t>广东省惠州市惠东县稔山镇蟹洲海堤水闸重建工程</w:t>
            </w:r>
            <w:r>
              <w:rPr>
                <w:rFonts w:hint="eastAsia" w:ascii="宋体" w:hAnsi="宋体" w:eastAsia="宋体" w:cs="宋体"/>
                <w:b w:val="0"/>
                <w:bCs w:val="0"/>
                <w:i w:val="0"/>
                <w:iCs w:val="0"/>
                <w:caps w:val="0"/>
                <w:color w:val="auto"/>
                <w:spacing w:val="0"/>
                <w:kern w:val="0"/>
                <w:sz w:val="28"/>
                <w:szCs w:val="28"/>
                <w:highlight w:val="none"/>
                <w:u w:val="none"/>
                <w:shd w:val="clear" w:color="auto" w:fill="FFFFFF"/>
                <w:lang w:val="en-US" w:eastAsia="zh-CN" w:bidi="ar"/>
              </w:rPr>
              <w:t>（编号11号）商品混凝土</w:t>
            </w:r>
          </w:p>
        </w:tc>
      </w:tr>
      <w:tr w14:paraId="39304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703F2D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3</w:t>
            </w:r>
          </w:p>
        </w:tc>
        <w:tc>
          <w:tcPr>
            <w:tcW w:w="1123" w:type="pct"/>
            <w:noWrap w:val="0"/>
            <w:vAlign w:val="center"/>
          </w:tcPr>
          <w:p w14:paraId="4BA5E5A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内容</w:t>
            </w:r>
          </w:p>
        </w:tc>
        <w:tc>
          <w:tcPr>
            <w:tcW w:w="3445" w:type="pct"/>
            <w:noWrap w:val="0"/>
            <w:vAlign w:val="center"/>
          </w:tcPr>
          <w:p w14:paraId="5BC5295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val="en-US" w:eastAsia="zh-CN"/>
              </w:rPr>
              <w:t>承包人现场施工所需的</w:t>
            </w:r>
            <w:r>
              <w:rPr>
                <w:rFonts w:hint="eastAsia" w:ascii="宋体" w:hAnsi="宋体" w:eastAsia="宋体" w:cs="宋体"/>
                <w:color w:val="auto"/>
                <w:sz w:val="28"/>
                <w:szCs w:val="28"/>
                <w:highlight w:val="none"/>
                <w:u w:val="none"/>
                <w:lang w:val="en-US" w:eastAsia="zh-CN"/>
              </w:rPr>
              <w:t>商品混凝土</w:t>
            </w:r>
          </w:p>
        </w:tc>
      </w:tr>
      <w:tr w14:paraId="07881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91616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4</w:t>
            </w:r>
          </w:p>
        </w:tc>
        <w:tc>
          <w:tcPr>
            <w:tcW w:w="1123" w:type="pct"/>
            <w:noWrap w:val="0"/>
            <w:vAlign w:val="center"/>
          </w:tcPr>
          <w:p w14:paraId="7F6125F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工</w:t>
            </w:r>
            <w:r>
              <w:rPr>
                <w:rFonts w:hint="eastAsia" w:ascii="宋体" w:hAnsi="宋体" w:eastAsia="宋体" w:cs="宋体"/>
                <w:color w:val="auto"/>
                <w:sz w:val="28"/>
                <w:szCs w:val="28"/>
                <w:highlight w:val="none"/>
              </w:rPr>
              <w:t>期</w:t>
            </w:r>
          </w:p>
        </w:tc>
        <w:tc>
          <w:tcPr>
            <w:tcW w:w="3445" w:type="pct"/>
            <w:noWrap w:val="0"/>
            <w:vAlign w:val="center"/>
          </w:tcPr>
          <w:p w14:paraId="55BC141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202</w:t>
            </w:r>
            <w:r>
              <w:rPr>
                <w:rFonts w:hint="eastAsia" w:ascii="宋体" w:hAnsi="宋体" w:eastAsia="宋体" w:cs="宋体"/>
                <w:color w:val="auto"/>
                <w:sz w:val="28"/>
                <w:szCs w:val="28"/>
                <w:highlight w:val="none"/>
                <w:u w:val="none"/>
                <w:lang w:val="en-US" w:eastAsia="zh-CN"/>
              </w:rPr>
              <w:t>4</w:t>
            </w:r>
            <w:r>
              <w:rPr>
                <w:rFonts w:hint="eastAsia" w:ascii="宋体" w:hAnsi="宋体" w:eastAsia="宋体" w:cs="宋体"/>
                <w:color w:val="auto"/>
                <w:sz w:val="28"/>
                <w:szCs w:val="28"/>
                <w:highlight w:val="none"/>
                <w:u w:val="none"/>
                <w:lang w:eastAsia="zh-CN"/>
              </w:rPr>
              <w:t>年</w:t>
            </w:r>
            <w:r>
              <w:rPr>
                <w:rFonts w:hint="eastAsia" w:ascii="宋体" w:hAnsi="宋体" w:eastAsia="宋体" w:cs="宋体"/>
                <w:color w:val="auto"/>
                <w:sz w:val="28"/>
                <w:szCs w:val="28"/>
                <w:highlight w:val="none"/>
                <w:u w:val="none"/>
                <w:lang w:val="en-US" w:eastAsia="zh-CN"/>
              </w:rPr>
              <w:t>9</w:t>
            </w:r>
            <w:r>
              <w:rPr>
                <w:rFonts w:hint="eastAsia" w:ascii="宋体" w:hAnsi="宋体" w:eastAsia="宋体" w:cs="宋体"/>
                <w:color w:val="auto"/>
                <w:sz w:val="28"/>
                <w:szCs w:val="28"/>
                <w:highlight w:val="none"/>
                <w:u w:val="none"/>
                <w:lang w:eastAsia="zh-CN"/>
              </w:rPr>
              <w:t>月-工程结束</w:t>
            </w:r>
          </w:p>
        </w:tc>
      </w:tr>
      <w:tr w14:paraId="620E7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88309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5</w:t>
            </w:r>
          </w:p>
        </w:tc>
        <w:tc>
          <w:tcPr>
            <w:tcW w:w="1123" w:type="pct"/>
            <w:noWrap w:val="0"/>
            <w:vAlign w:val="center"/>
          </w:tcPr>
          <w:p w14:paraId="3BB3BE6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质量要求</w:t>
            </w:r>
          </w:p>
        </w:tc>
        <w:tc>
          <w:tcPr>
            <w:tcW w:w="3445" w:type="pct"/>
            <w:noWrap w:val="0"/>
            <w:vAlign w:val="center"/>
          </w:tcPr>
          <w:p w14:paraId="68D652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rPr>
            </w:pPr>
            <w:r>
              <w:rPr>
                <w:rFonts w:hint="eastAsia" w:ascii="宋体" w:hAnsi="宋体" w:eastAsia="宋体" w:cs="宋体"/>
                <w:color w:val="auto"/>
                <w:sz w:val="28"/>
                <w:szCs w:val="28"/>
                <w:highlight w:val="none"/>
                <w:u w:val="none"/>
                <w:lang w:eastAsia="zh-CN"/>
              </w:rPr>
              <w:t>合格</w:t>
            </w:r>
          </w:p>
        </w:tc>
      </w:tr>
      <w:tr w14:paraId="3431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0E657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6</w:t>
            </w:r>
          </w:p>
        </w:tc>
        <w:tc>
          <w:tcPr>
            <w:tcW w:w="1123" w:type="pct"/>
            <w:noWrap w:val="0"/>
            <w:vAlign w:val="center"/>
          </w:tcPr>
          <w:p w14:paraId="16ADFE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参选人</w:t>
            </w:r>
          </w:p>
          <w:p w14:paraId="22E15A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资格条件</w:t>
            </w:r>
          </w:p>
        </w:tc>
        <w:tc>
          <w:tcPr>
            <w:tcW w:w="3445" w:type="pct"/>
            <w:noWrap w:val="0"/>
            <w:vAlign w:val="center"/>
          </w:tcPr>
          <w:p w14:paraId="41F90B4E">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在中华人民共和国境内注册的法人或其他组织，</w:t>
            </w:r>
            <w:r>
              <w:rPr>
                <w:rFonts w:hint="eastAsia" w:ascii="宋体" w:hAnsi="宋体" w:eastAsia="宋体" w:cs="宋体"/>
                <w:color w:val="auto"/>
                <w:sz w:val="28"/>
                <w:szCs w:val="28"/>
                <w:highlight w:val="none"/>
                <w:lang w:val="en-US" w:eastAsia="zh-CN"/>
              </w:rPr>
              <w:t>参选</w:t>
            </w:r>
            <w:r>
              <w:rPr>
                <w:rFonts w:hint="eastAsia" w:ascii="宋体" w:hAnsi="宋体" w:eastAsia="宋体" w:cs="宋体"/>
                <w:color w:val="auto"/>
                <w:sz w:val="28"/>
                <w:szCs w:val="28"/>
                <w:highlight w:val="none"/>
                <w:lang w:eastAsia="zh-CN"/>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color w:val="auto"/>
                <w:sz w:val="28"/>
                <w:szCs w:val="28"/>
                <w:highlight w:val="none"/>
                <w:lang w:val="en-US" w:eastAsia="zh-CN"/>
              </w:rPr>
              <w:t>。</w:t>
            </w:r>
          </w:p>
          <w:p w14:paraId="24DE59E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与采购人存在利害关系可能影响采购公正性的法人、其他组织或者个人，不得参加本项目响应；单位负责人为同一人或者存在控股（含法定代表人控股）、管理关系的不同单位，不得参加同一项目响应，否则均按否决响应处理。</w:t>
            </w:r>
          </w:p>
          <w:p w14:paraId="62A44289">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3、</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3A467735">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本次采购不接受联合体响应。</w:t>
            </w:r>
          </w:p>
        </w:tc>
      </w:tr>
      <w:tr w14:paraId="586EF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074AAC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7</w:t>
            </w:r>
          </w:p>
        </w:tc>
        <w:tc>
          <w:tcPr>
            <w:tcW w:w="1123" w:type="pct"/>
            <w:noWrap w:val="0"/>
            <w:vAlign w:val="center"/>
          </w:tcPr>
          <w:p w14:paraId="049E566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是否接受</w:t>
            </w:r>
          </w:p>
          <w:p w14:paraId="6091980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联合体</w:t>
            </w:r>
          </w:p>
        </w:tc>
        <w:tc>
          <w:tcPr>
            <w:tcW w:w="3445" w:type="pct"/>
            <w:noWrap w:val="0"/>
            <w:vAlign w:val="center"/>
          </w:tcPr>
          <w:p w14:paraId="2E849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□接受，但联合体所有成员不得超过2家。</w:t>
            </w:r>
          </w:p>
          <w:p w14:paraId="0599C80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不接受</w:t>
            </w:r>
          </w:p>
        </w:tc>
      </w:tr>
      <w:tr w14:paraId="2F33D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AB14C5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8</w:t>
            </w:r>
          </w:p>
        </w:tc>
        <w:tc>
          <w:tcPr>
            <w:tcW w:w="1123" w:type="pct"/>
            <w:noWrap w:val="0"/>
            <w:vAlign w:val="center"/>
          </w:tcPr>
          <w:p w14:paraId="53867A5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踏勘现场</w:t>
            </w:r>
          </w:p>
        </w:tc>
        <w:tc>
          <w:tcPr>
            <w:tcW w:w="3445" w:type="pct"/>
            <w:noWrap w:val="0"/>
            <w:vAlign w:val="center"/>
          </w:tcPr>
          <w:p w14:paraId="7BDB796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□组织</w:t>
            </w:r>
          </w:p>
          <w:p w14:paraId="7EA95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☑不组织</w:t>
            </w:r>
          </w:p>
          <w:p w14:paraId="29262D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采购人不组织统一的现场踏勘。若为获取自己负责的有关编制响应文件的资料，响应人可自行安排踏勘，但现场踏勘的费用、交通、安全及其它相关问题，均由响应人自己承担和解决。</w:t>
            </w:r>
          </w:p>
        </w:tc>
      </w:tr>
      <w:tr w14:paraId="64B37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FFD3B8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9</w:t>
            </w:r>
          </w:p>
        </w:tc>
        <w:tc>
          <w:tcPr>
            <w:tcW w:w="1123" w:type="pct"/>
            <w:noWrap w:val="0"/>
            <w:vAlign w:val="center"/>
          </w:tcPr>
          <w:p w14:paraId="6BE6E1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偏离</w:t>
            </w:r>
          </w:p>
        </w:tc>
        <w:tc>
          <w:tcPr>
            <w:tcW w:w="3445" w:type="pct"/>
            <w:noWrap w:val="0"/>
            <w:vAlign w:val="center"/>
          </w:tcPr>
          <w:p w14:paraId="0D9E42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☑不允许</w:t>
            </w:r>
          </w:p>
          <w:p w14:paraId="382B6D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w:t>
            </w:r>
          </w:p>
          <w:p w14:paraId="76AA432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允许细微偏离，应当符合相关规定的偏离范围和幅度。</w:t>
            </w:r>
          </w:p>
        </w:tc>
      </w:tr>
      <w:tr w14:paraId="03333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BB9F91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10</w:t>
            </w:r>
          </w:p>
        </w:tc>
        <w:tc>
          <w:tcPr>
            <w:tcW w:w="1123" w:type="pct"/>
            <w:noWrap w:val="0"/>
            <w:vAlign w:val="center"/>
          </w:tcPr>
          <w:p w14:paraId="2886592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截止时间</w:t>
            </w:r>
          </w:p>
        </w:tc>
        <w:tc>
          <w:tcPr>
            <w:tcW w:w="3445" w:type="pct"/>
            <w:noWrap w:val="0"/>
            <w:vAlign w:val="center"/>
          </w:tcPr>
          <w:p w14:paraId="3EF7737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rPr>
            </w:pPr>
            <w:r>
              <w:rPr>
                <w:rFonts w:hint="eastAsia" w:ascii="宋体" w:hAnsi="宋体" w:eastAsia="宋体" w:cs="宋体"/>
                <w:color w:val="auto"/>
                <w:sz w:val="28"/>
                <w:szCs w:val="28"/>
                <w:highlight w:val="none"/>
                <w:u w:val="single"/>
                <w:lang w:val="en-US" w:eastAsia="zh-CN"/>
              </w:rPr>
              <w:t>2024年9月3日</w:t>
            </w:r>
            <w:r>
              <w:rPr>
                <w:rFonts w:hint="eastAsia" w:ascii="宋体" w:hAnsi="宋体" w:eastAsia="宋体" w:cs="宋体"/>
                <w:color w:val="auto"/>
                <w:sz w:val="28"/>
                <w:szCs w:val="28"/>
                <w:highlight w:val="none"/>
                <w:u w:val="single"/>
                <w:lang w:val="en-US" w:eastAsia="zh-CN"/>
              </w:rPr>
              <w:t>12:00</w:t>
            </w:r>
          </w:p>
        </w:tc>
      </w:tr>
      <w:tr w14:paraId="1A32B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52431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11</w:t>
            </w:r>
          </w:p>
        </w:tc>
        <w:tc>
          <w:tcPr>
            <w:tcW w:w="1123" w:type="pct"/>
            <w:noWrap w:val="0"/>
            <w:vAlign w:val="center"/>
          </w:tcPr>
          <w:p w14:paraId="6D562ED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保证金</w:t>
            </w:r>
          </w:p>
        </w:tc>
        <w:tc>
          <w:tcPr>
            <w:tcW w:w="3445" w:type="pct"/>
            <w:noWrap w:val="0"/>
            <w:vAlign w:val="center"/>
          </w:tcPr>
          <w:p w14:paraId="7ED2390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本项目不收取采购保证金</w:t>
            </w:r>
          </w:p>
        </w:tc>
      </w:tr>
      <w:tr w14:paraId="33B87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FC2452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12</w:t>
            </w:r>
          </w:p>
        </w:tc>
        <w:tc>
          <w:tcPr>
            <w:tcW w:w="1123" w:type="pct"/>
            <w:noWrap w:val="0"/>
            <w:vAlign w:val="center"/>
          </w:tcPr>
          <w:p w14:paraId="13135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p w14:paraId="710F41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具体要求</w:t>
            </w:r>
          </w:p>
        </w:tc>
        <w:tc>
          <w:tcPr>
            <w:tcW w:w="3445" w:type="pct"/>
            <w:noWrap w:val="0"/>
            <w:vAlign w:val="center"/>
          </w:tcPr>
          <w:p w14:paraId="5621013B">
            <w:pPr>
              <w:keepNext w:val="0"/>
              <w:keepLines w:val="0"/>
              <w:pageBreakBefore w:val="0"/>
              <w:framePr w:wrap="auto" w:vAnchor="margin" w:hAnchor="text" w:yAlign="inline"/>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响应文件应用不褪色的墨水书写或打印，</w:t>
            </w:r>
            <w:r>
              <w:rPr>
                <w:rFonts w:hint="eastAsia" w:ascii="宋体" w:hAnsi="宋体" w:eastAsia="宋体" w:cs="宋体"/>
                <w:color w:val="auto"/>
                <w:sz w:val="28"/>
                <w:szCs w:val="28"/>
                <w:highlight w:val="none"/>
                <w:lang w:val="en-US" w:eastAsia="zh-CN"/>
              </w:rPr>
              <w:t>并</w:t>
            </w:r>
            <w:r>
              <w:rPr>
                <w:rFonts w:hint="eastAsia" w:ascii="宋体" w:hAnsi="宋体" w:eastAsia="宋体" w:cs="宋体"/>
                <w:b w:val="0"/>
                <w:bCs w:val="0"/>
                <w:color w:val="auto"/>
                <w:sz w:val="28"/>
                <w:szCs w:val="28"/>
                <w:highlight w:val="none"/>
                <w:lang w:eastAsia="zh-CN"/>
              </w:rPr>
              <w:t>按竞价文件明确规定的格式和要求签名和盖章。</w:t>
            </w:r>
          </w:p>
        </w:tc>
      </w:tr>
      <w:tr w14:paraId="5286D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DE7274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13</w:t>
            </w:r>
          </w:p>
        </w:tc>
        <w:tc>
          <w:tcPr>
            <w:tcW w:w="1123" w:type="pct"/>
            <w:noWrap w:val="0"/>
            <w:vAlign w:val="center"/>
          </w:tcPr>
          <w:p w14:paraId="531A01B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文件</w:t>
            </w:r>
          </w:p>
          <w:p w14:paraId="752AA4E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份数</w:t>
            </w:r>
          </w:p>
        </w:tc>
        <w:tc>
          <w:tcPr>
            <w:tcW w:w="3445" w:type="pct"/>
            <w:noWrap w:val="0"/>
            <w:vAlign w:val="center"/>
          </w:tcPr>
          <w:p w14:paraId="0614FB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一式</w:t>
            </w: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份，密封提交</w:t>
            </w:r>
            <w:r>
              <w:rPr>
                <w:rFonts w:hint="eastAsia" w:ascii="宋体" w:hAnsi="宋体" w:eastAsia="宋体" w:cs="宋体"/>
                <w:color w:val="auto"/>
                <w:sz w:val="28"/>
                <w:szCs w:val="28"/>
                <w:highlight w:val="none"/>
                <w:lang w:eastAsia="zh-CN"/>
              </w:rPr>
              <w:t>。</w:t>
            </w:r>
          </w:p>
        </w:tc>
      </w:tr>
      <w:tr w14:paraId="1090C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8ECB5F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14</w:t>
            </w:r>
          </w:p>
        </w:tc>
        <w:tc>
          <w:tcPr>
            <w:tcW w:w="1123" w:type="pct"/>
            <w:noWrap w:val="0"/>
            <w:vAlign w:val="center"/>
          </w:tcPr>
          <w:p w14:paraId="70F6C3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装订要求</w:t>
            </w:r>
          </w:p>
        </w:tc>
        <w:tc>
          <w:tcPr>
            <w:tcW w:w="3445" w:type="pct"/>
            <w:noWrap w:val="0"/>
            <w:vAlign w:val="center"/>
          </w:tcPr>
          <w:p w14:paraId="7091A8D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无</w:t>
            </w:r>
          </w:p>
        </w:tc>
      </w:tr>
      <w:tr w14:paraId="2C137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6F67E1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15</w:t>
            </w:r>
          </w:p>
        </w:tc>
        <w:tc>
          <w:tcPr>
            <w:tcW w:w="1123" w:type="pct"/>
            <w:noWrap w:val="0"/>
            <w:vAlign w:val="center"/>
          </w:tcPr>
          <w:p w14:paraId="52C31B5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封套上写明</w:t>
            </w:r>
          </w:p>
        </w:tc>
        <w:tc>
          <w:tcPr>
            <w:tcW w:w="3445" w:type="pct"/>
            <w:noWrap w:val="0"/>
            <w:vAlign w:val="center"/>
          </w:tcPr>
          <w:p w14:paraId="158887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采购人名称：</w:t>
            </w:r>
            <w:r>
              <w:rPr>
                <w:rFonts w:hint="eastAsia" w:ascii="宋体" w:hAnsi="宋体" w:eastAsia="宋体" w:cs="宋体"/>
                <w:color w:val="auto"/>
                <w:sz w:val="28"/>
                <w:szCs w:val="28"/>
                <w:highlight w:val="none"/>
                <w:lang w:val="en-US" w:eastAsia="zh-CN"/>
              </w:rPr>
              <w:t>广东高丰建设工程有限公司</w:t>
            </w:r>
          </w:p>
          <w:p w14:paraId="6754D96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eastAsia="zh-CN"/>
              </w:rPr>
            </w:pPr>
            <w:r>
              <w:rPr>
                <w:rFonts w:hint="eastAsia" w:ascii="宋体" w:hAnsi="宋体" w:eastAsia="宋体" w:cs="宋体"/>
                <w:color w:val="auto"/>
                <w:sz w:val="28"/>
                <w:szCs w:val="28"/>
                <w:highlight w:val="none"/>
                <w:lang w:eastAsia="zh-CN"/>
              </w:rPr>
              <w:t>送达响应文件地址：</w:t>
            </w:r>
            <w:r>
              <w:rPr>
                <w:rFonts w:hint="eastAsia" w:ascii="宋体" w:hAnsi="宋体" w:eastAsia="宋体" w:cs="宋体"/>
                <w:color w:val="auto"/>
                <w:sz w:val="28"/>
                <w:szCs w:val="28"/>
                <w:highlight w:val="none"/>
                <w:u w:val="single"/>
                <w:lang w:val="en-US" w:eastAsia="zh-CN"/>
              </w:rPr>
              <w:t>惠州市惠东县惠东大道1212号公路事务养护中心4楼高丰公司</w:t>
            </w:r>
          </w:p>
          <w:p w14:paraId="75C1DC0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eastAsia="zh-CN"/>
              </w:rPr>
            </w:pPr>
            <w:r>
              <w:rPr>
                <w:rFonts w:hint="eastAsia" w:ascii="宋体" w:hAnsi="宋体" w:eastAsia="宋体" w:cs="宋体"/>
                <w:color w:val="auto"/>
                <w:sz w:val="28"/>
                <w:szCs w:val="28"/>
                <w:highlight w:val="none"/>
                <w:lang w:eastAsia="zh-CN"/>
              </w:rPr>
              <w:t>响应人名称：</w:t>
            </w:r>
            <w:r>
              <w:rPr>
                <w:rFonts w:hint="eastAsia" w:ascii="宋体" w:hAnsi="宋体" w:eastAsia="宋体" w:cs="宋体"/>
                <w:color w:val="auto"/>
                <w:sz w:val="28"/>
                <w:szCs w:val="28"/>
                <w:highlight w:val="none"/>
                <w:u w:val="single"/>
                <w:lang w:eastAsia="zh-CN"/>
              </w:rPr>
              <w:t xml:space="preserve">    </w:t>
            </w:r>
          </w:p>
          <w:p w14:paraId="22161C7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响应人地址：</w:t>
            </w:r>
            <w:r>
              <w:rPr>
                <w:rFonts w:hint="eastAsia" w:ascii="宋体" w:hAnsi="宋体" w:eastAsia="宋体" w:cs="宋体"/>
                <w:color w:val="auto"/>
                <w:sz w:val="28"/>
                <w:szCs w:val="28"/>
                <w:highlight w:val="none"/>
                <w:u w:val="single"/>
                <w:lang w:eastAsia="zh-CN"/>
              </w:rPr>
              <w:t xml:space="preserve">    </w:t>
            </w:r>
          </w:p>
          <w:p w14:paraId="2CC54F8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响应项目名称：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响应文件</w:t>
            </w:r>
          </w:p>
          <w:p w14:paraId="2F9233C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在</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bCs/>
                <w:color w:val="auto"/>
                <w:sz w:val="28"/>
                <w:szCs w:val="28"/>
                <w:highlight w:val="none"/>
                <w:lang w:eastAsia="zh-CN"/>
              </w:rPr>
              <w:t>年</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bCs/>
                <w:color w:val="auto"/>
                <w:sz w:val="28"/>
                <w:szCs w:val="28"/>
                <w:highlight w:val="none"/>
                <w:u w:val="single"/>
                <w:lang w:val="en-US" w:eastAsia="zh-CN"/>
              </w:rPr>
              <w:t xml:space="preserve">  </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月</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日</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时</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分（即开启时间）</w:t>
            </w:r>
            <w:r>
              <w:rPr>
                <w:rFonts w:hint="eastAsia" w:ascii="宋体" w:hAnsi="宋体" w:eastAsia="宋体" w:cs="宋体"/>
                <w:color w:val="auto"/>
                <w:sz w:val="28"/>
                <w:szCs w:val="28"/>
                <w:highlight w:val="none"/>
                <w:lang w:eastAsia="zh-CN"/>
              </w:rPr>
              <w:t>前不得开启</w:t>
            </w:r>
          </w:p>
          <w:p w14:paraId="4F0CC82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b/>
                <w:color w:val="auto"/>
                <w:sz w:val="28"/>
                <w:szCs w:val="28"/>
                <w:highlight w:val="none"/>
                <w:lang w:eastAsia="zh-CN"/>
              </w:rPr>
              <w:t>封口处须加盖响应人单位公章</w:t>
            </w:r>
          </w:p>
        </w:tc>
      </w:tr>
      <w:tr w14:paraId="2E8DE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3FE669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16</w:t>
            </w:r>
          </w:p>
        </w:tc>
        <w:tc>
          <w:tcPr>
            <w:tcW w:w="1123" w:type="pct"/>
            <w:noWrap w:val="0"/>
            <w:vAlign w:val="center"/>
          </w:tcPr>
          <w:p w14:paraId="4B99D71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递交</w:t>
            </w:r>
            <w:r>
              <w:rPr>
                <w:rFonts w:hint="eastAsia" w:ascii="宋体" w:hAnsi="宋体" w:eastAsia="宋体" w:cs="宋体"/>
                <w:color w:val="auto"/>
                <w:sz w:val="28"/>
                <w:szCs w:val="28"/>
                <w:highlight w:val="none"/>
                <w:lang w:eastAsia="zh-CN"/>
              </w:rPr>
              <w:t>响应文件</w:t>
            </w:r>
            <w:r>
              <w:rPr>
                <w:rFonts w:hint="eastAsia" w:ascii="宋体" w:hAnsi="宋体" w:eastAsia="宋体" w:cs="宋体"/>
                <w:color w:val="auto"/>
                <w:sz w:val="28"/>
                <w:szCs w:val="28"/>
                <w:highlight w:val="none"/>
              </w:rPr>
              <w:t>地点</w:t>
            </w:r>
          </w:p>
        </w:tc>
        <w:tc>
          <w:tcPr>
            <w:tcW w:w="3445" w:type="pct"/>
            <w:noWrap w:val="0"/>
            <w:vAlign w:val="center"/>
          </w:tcPr>
          <w:p w14:paraId="03264EC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Cs/>
                <w:color w:val="auto"/>
                <w:sz w:val="28"/>
                <w:szCs w:val="28"/>
                <w:highlight w:val="none"/>
                <w:u w:val="single"/>
                <w:lang w:val="en-US" w:eastAsia="zh-CN"/>
              </w:rPr>
              <w:t xml:space="preserve"> 惠州市惠东县惠东大道1212号公路事务养护中心4楼高丰公司 </w:t>
            </w:r>
          </w:p>
        </w:tc>
      </w:tr>
      <w:tr w14:paraId="0286E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8EF1B9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17</w:t>
            </w:r>
          </w:p>
        </w:tc>
        <w:tc>
          <w:tcPr>
            <w:tcW w:w="1123" w:type="pct"/>
            <w:noWrap w:val="0"/>
            <w:vAlign w:val="center"/>
          </w:tcPr>
          <w:p w14:paraId="441479A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响应文件开启时间和地点</w:t>
            </w:r>
          </w:p>
        </w:tc>
        <w:tc>
          <w:tcPr>
            <w:tcW w:w="3445" w:type="pct"/>
            <w:noWrap w:val="0"/>
            <w:vAlign w:val="center"/>
          </w:tcPr>
          <w:p w14:paraId="1155EEB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开启时间：同响应截止时间</w:t>
            </w:r>
          </w:p>
          <w:p w14:paraId="0E5BA8E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开启地点：同递交响应文件地点</w:t>
            </w:r>
          </w:p>
        </w:tc>
      </w:tr>
      <w:tr w14:paraId="40885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CF61A0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18</w:t>
            </w:r>
          </w:p>
        </w:tc>
        <w:tc>
          <w:tcPr>
            <w:tcW w:w="1123" w:type="pct"/>
            <w:noWrap w:val="0"/>
            <w:vAlign w:val="center"/>
          </w:tcPr>
          <w:p w14:paraId="1021E1E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竞价</w:t>
            </w:r>
            <w:r>
              <w:rPr>
                <w:rFonts w:hint="eastAsia" w:ascii="宋体" w:hAnsi="宋体" w:eastAsia="宋体" w:cs="宋体"/>
                <w:color w:val="auto"/>
                <w:sz w:val="28"/>
                <w:szCs w:val="28"/>
                <w:highlight w:val="none"/>
              </w:rPr>
              <w:t>程序</w:t>
            </w:r>
          </w:p>
        </w:tc>
        <w:tc>
          <w:tcPr>
            <w:tcW w:w="3445" w:type="pct"/>
            <w:noWrap w:val="0"/>
            <w:vAlign w:val="center"/>
          </w:tcPr>
          <w:p w14:paraId="64F46C93">
            <w:pPr>
              <w:pStyle w:val="32"/>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0" w:firstLineChars="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（1）核对原件：</w:t>
            </w:r>
            <w:r>
              <w:rPr>
                <w:rFonts w:hint="eastAsia" w:ascii="宋体" w:hAnsi="宋体" w:eastAsia="宋体" w:cs="宋体"/>
                <w:color w:val="auto"/>
                <w:sz w:val="28"/>
                <w:szCs w:val="28"/>
                <w:highlight w:val="none"/>
                <w:lang w:val="en-US" w:eastAsia="zh-CN"/>
              </w:rPr>
              <w:t>无</w:t>
            </w:r>
            <w:r>
              <w:rPr>
                <w:rFonts w:hint="eastAsia" w:ascii="宋体" w:hAnsi="宋体" w:eastAsia="宋体" w:cs="宋体"/>
                <w:color w:val="auto"/>
                <w:sz w:val="28"/>
                <w:szCs w:val="28"/>
                <w:highlight w:val="none"/>
                <w:lang w:eastAsia="zh-CN"/>
              </w:rPr>
              <w:t>；</w:t>
            </w:r>
          </w:p>
          <w:p w14:paraId="66C575A8">
            <w:pPr>
              <w:keepNext w:val="0"/>
              <w:keepLines w:val="0"/>
              <w:pageBreakBefore w:val="0"/>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lang w:eastAsia="zh-CN"/>
              </w:rPr>
              <w:t>（2）</w:t>
            </w:r>
            <w:r>
              <w:rPr>
                <w:rFonts w:hint="eastAsia" w:ascii="宋体" w:hAnsi="宋体" w:eastAsia="宋体" w:cs="宋体"/>
                <w:color w:val="auto"/>
                <w:sz w:val="28"/>
                <w:szCs w:val="28"/>
                <w:highlight w:val="none"/>
                <w:lang w:eastAsia="zh-CN"/>
              </w:rPr>
              <w:t>开启顺序：按响应人递交响应文件时间的</w:t>
            </w:r>
            <w:r>
              <w:rPr>
                <w:rFonts w:hint="eastAsia" w:ascii="宋体" w:hAnsi="宋体" w:eastAsia="宋体" w:cs="宋体"/>
                <w:color w:val="auto"/>
                <w:sz w:val="28"/>
                <w:szCs w:val="28"/>
                <w:highlight w:val="none"/>
                <w:lang w:val="en-US" w:eastAsia="zh-CN"/>
              </w:rPr>
              <w:t>顺序</w:t>
            </w:r>
            <w:r>
              <w:rPr>
                <w:rFonts w:hint="eastAsia" w:ascii="宋体" w:hAnsi="宋体" w:eastAsia="宋体" w:cs="宋体"/>
                <w:color w:val="auto"/>
                <w:sz w:val="28"/>
                <w:szCs w:val="28"/>
                <w:highlight w:val="none"/>
                <w:lang w:eastAsia="zh-CN"/>
              </w:rPr>
              <w:t>开启；</w:t>
            </w:r>
          </w:p>
          <w:p w14:paraId="037DA9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lang w:eastAsia="zh-CN"/>
              </w:rPr>
              <w:t>）开启时，报价函中报价总价小写金额与大写金额不一致时，以大写金额为准。</w:t>
            </w:r>
          </w:p>
        </w:tc>
      </w:tr>
      <w:tr w14:paraId="43B66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0DDA0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19</w:t>
            </w:r>
          </w:p>
        </w:tc>
        <w:tc>
          <w:tcPr>
            <w:tcW w:w="1123" w:type="pct"/>
            <w:noWrap w:val="0"/>
            <w:vAlign w:val="center"/>
          </w:tcPr>
          <w:p w14:paraId="5156C8D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评</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办法</w:t>
            </w:r>
          </w:p>
        </w:tc>
        <w:tc>
          <w:tcPr>
            <w:tcW w:w="3445" w:type="pct"/>
            <w:noWrap w:val="0"/>
            <w:vAlign w:val="center"/>
          </w:tcPr>
          <w:p w14:paraId="4C518E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详见第四部分</w:t>
            </w:r>
          </w:p>
        </w:tc>
      </w:tr>
      <w:tr w14:paraId="3DBC9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BE02E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0</w:t>
            </w:r>
          </w:p>
        </w:tc>
        <w:tc>
          <w:tcPr>
            <w:tcW w:w="1123" w:type="pct"/>
            <w:noWrap w:val="0"/>
            <w:vAlign w:val="center"/>
          </w:tcPr>
          <w:p w14:paraId="21F7DDA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推荐中选候选人</w:t>
            </w:r>
          </w:p>
        </w:tc>
        <w:tc>
          <w:tcPr>
            <w:tcW w:w="3445" w:type="pct"/>
            <w:noWrap w:val="0"/>
            <w:vAlign w:val="center"/>
          </w:tcPr>
          <w:p w14:paraId="7C6F3FF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推荐中选候选人的人数为</w:t>
            </w:r>
            <w:r>
              <w:rPr>
                <w:rFonts w:hint="eastAsia" w:ascii="宋体" w:hAnsi="宋体" w:eastAsia="宋体" w:cs="宋体"/>
                <w:color w:val="auto"/>
                <w:sz w:val="28"/>
                <w:szCs w:val="28"/>
                <w:highlight w:val="none"/>
                <w:u w:val="none"/>
                <w:lang w:val="en-US" w:eastAsia="zh-CN"/>
              </w:rPr>
              <w:t>1</w:t>
            </w:r>
            <w:r>
              <w:rPr>
                <w:rFonts w:hint="eastAsia" w:ascii="宋体" w:hAnsi="宋体" w:eastAsia="宋体" w:cs="宋体"/>
                <w:color w:val="auto"/>
                <w:sz w:val="28"/>
                <w:szCs w:val="28"/>
                <w:highlight w:val="none"/>
                <w:u w:val="none"/>
                <w:lang w:eastAsia="zh-CN"/>
              </w:rPr>
              <w:t>名。</w:t>
            </w:r>
          </w:p>
        </w:tc>
      </w:tr>
      <w:tr w14:paraId="4FA6B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7B35D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w:t>
            </w:r>
            <w:r>
              <w:rPr>
                <w:rFonts w:hint="eastAsia" w:ascii="宋体" w:hAnsi="宋体" w:eastAsia="宋体" w:cs="宋体"/>
                <w:color w:val="auto"/>
                <w:sz w:val="28"/>
                <w:szCs w:val="28"/>
                <w:highlight w:val="none"/>
                <w:lang w:val="en-US" w:eastAsia="zh-CN"/>
              </w:rPr>
              <w:t>1</w:t>
            </w:r>
          </w:p>
        </w:tc>
        <w:tc>
          <w:tcPr>
            <w:tcW w:w="1123" w:type="pct"/>
            <w:noWrap w:val="0"/>
            <w:vAlign w:val="center"/>
          </w:tcPr>
          <w:p w14:paraId="1925FA1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中</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通知</w:t>
            </w:r>
          </w:p>
        </w:tc>
        <w:tc>
          <w:tcPr>
            <w:tcW w:w="3445" w:type="pct"/>
            <w:noWrap w:val="0"/>
            <w:vAlign w:val="center"/>
          </w:tcPr>
          <w:p w14:paraId="529D79B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采购</w:t>
            </w:r>
            <w:r>
              <w:rPr>
                <w:rFonts w:hint="eastAsia" w:ascii="宋体" w:hAnsi="宋体" w:eastAsia="宋体" w:cs="宋体"/>
                <w:color w:val="auto"/>
                <w:sz w:val="28"/>
                <w:szCs w:val="28"/>
                <w:highlight w:val="none"/>
                <w:u w:val="none"/>
                <w:lang w:eastAsia="zh-CN" w:bidi="ar"/>
              </w:rPr>
              <w:t>人将</w:t>
            </w:r>
            <w:r>
              <w:rPr>
                <w:rFonts w:hint="eastAsia" w:ascii="宋体" w:hAnsi="宋体" w:eastAsia="宋体" w:cs="宋体"/>
                <w:color w:val="auto"/>
                <w:sz w:val="28"/>
                <w:szCs w:val="28"/>
                <w:highlight w:val="none"/>
                <w:u w:val="none"/>
                <w:lang w:val="en-US" w:eastAsia="zh-CN"/>
              </w:rPr>
              <w:t>竞价</w:t>
            </w:r>
            <w:r>
              <w:rPr>
                <w:rFonts w:hint="eastAsia" w:ascii="宋体" w:hAnsi="宋体" w:eastAsia="宋体" w:cs="宋体"/>
                <w:color w:val="auto"/>
                <w:sz w:val="28"/>
                <w:szCs w:val="28"/>
                <w:highlight w:val="none"/>
                <w:u w:val="none"/>
                <w:lang w:eastAsia="zh-CN" w:bidi="ar"/>
              </w:rPr>
              <w:t>结果在</w:t>
            </w:r>
            <w:r>
              <w:rPr>
                <w:rFonts w:hint="eastAsia" w:ascii="宋体" w:hAnsi="宋体" w:eastAsia="宋体" w:cs="宋体"/>
                <w:color w:val="auto"/>
                <w:sz w:val="28"/>
                <w:szCs w:val="28"/>
                <w:highlight w:val="none"/>
                <w:u w:val="none"/>
                <w:lang w:val="en-US" w:eastAsia="zh-CN" w:bidi="ar"/>
              </w:rPr>
              <w:t>广东高丰建设工程有限公司</w:t>
            </w:r>
            <w:r>
              <w:rPr>
                <w:rFonts w:hint="eastAsia" w:ascii="宋体" w:hAnsi="宋体" w:eastAsia="宋体" w:cs="宋体"/>
                <w:color w:val="auto"/>
                <w:sz w:val="28"/>
                <w:szCs w:val="28"/>
                <w:highlight w:val="none"/>
                <w:u w:val="none"/>
                <w:lang w:eastAsia="zh-CN" w:bidi="ar"/>
              </w:rPr>
              <w:t>官网（http://www.gdtianfeng.com/）公示</w:t>
            </w:r>
            <w:r>
              <w:rPr>
                <w:rFonts w:hint="eastAsia" w:ascii="宋体" w:hAnsi="宋体" w:eastAsia="宋体" w:cs="宋体"/>
                <w:color w:val="auto"/>
                <w:sz w:val="28"/>
                <w:szCs w:val="28"/>
                <w:highlight w:val="none"/>
                <w:u w:val="none"/>
                <w:lang w:val="en-US" w:eastAsia="zh-CN" w:bidi="ar"/>
              </w:rPr>
              <w:t>不少于3日</w:t>
            </w:r>
            <w:r>
              <w:rPr>
                <w:rFonts w:hint="eastAsia" w:ascii="宋体" w:hAnsi="宋体" w:eastAsia="宋体" w:cs="宋体"/>
                <w:color w:val="auto"/>
                <w:sz w:val="28"/>
                <w:szCs w:val="28"/>
                <w:highlight w:val="none"/>
                <w:u w:val="none"/>
                <w:lang w:eastAsia="zh-CN" w:bidi="ar"/>
              </w:rPr>
              <w:t>，公示无异议后以书面形式向中选人发出中选通知书。</w:t>
            </w:r>
          </w:p>
        </w:tc>
      </w:tr>
      <w:tr w14:paraId="220D6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42636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2</w:t>
            </w:r>
          </w:p>
        </w:tc>
        <w:tc>
          <w:tcPr>
            <w:tcW w:w="1123" w:type="pct"/>
            <w:noWrap w:val="0"/>
            <w:vAlign w:val="center"/>
          </w:tcPr>
          <w:p w14:paraId="061E7E6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履约担保</w:t>
            </w:r>
          </w:p>
        </w:tc>
        <w:tc>
          <w:tcPr>
            <w:tcW w:w="3445" w:type="pct"/>
            <w:noWrap w:val="0"/>
            <w:vAlign w:val="center"/>
          </w:tcPr>
          <w:p w14:paraId="27C03C9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w:t>
            </w:r>
          </w:p>
        </w:tc>
      </w:tr>
      <w:tr w14:paraId="766E3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7860FD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3</w:t>
            </w:r>
          </w:p>
        </w:tc>
        <w:tc>
          <w:tcPr>
            <w:tcW w:w="1123" w:type="pct"/>
            <w:noWrap w:val="0"/>
            <w:vAlign w:val="center"/>
          </w:tcPr>
          <w:p w14:paraId="7F701C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质量担保</w:t>
            </w:r>
          </w:p>
        </w:tc>
        <w:tc>
          <w:tcPr>
            <w:tcW w:w="3445" w:type="pct"/>
            <w:noWrap w:val="0"/>
            <w:vAlign w:val="center"/>
          </w:tcPr>
          <w:p w14:paraId="74D9484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p>
        </w:tc>
      </w:tr>
      <w:tr w14:paraId="0772A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000" w:type="pct"/>
            <w:gridSpan w:val="3"/>
            <w:vAlign w:val="center"/>
          </w:tcPr>
          <w:p w14:paraId="140B6A7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bCs w:val="0"/>
                <w:color w:val="auto"/>
                <w:sz w:val="28"/>
                <w:szCs w:val="28"/>
                <w:highlight w:val="none"/>
              </w:rPr>
              <w:t>需要补充的其他内容</w:t>
            </w:r>
          </w:p>
        </w:tc>
      </w:tr>
      <w:tr w14:paraId="0C00D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B23C27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4</w:t>
            </w:r>
          </w:p>
        </w:tc>
        <w:tc>
          <w:tcPr>
            <w:tcW w:w="1123" w:type="pct"/>
            <w:vAlign w:val="center"/>
          </w:tcPr>
          <w:p w14:paraId="6B5FFB5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废</w:t>
            </w:r>
            <w:r>
              <w:rPr>
                <w:rFonts w:hint="eastAsia" w:ascii="宋体" w:hAnsi="宋体" w:eastAsia="宋体" w:cs="宋体"/>
                <w:b w:val="0"/>
                <w:bCs/>
                <w:color w:val="auto"/>
                <w:sz w:val="28"/>
                <w:szCs w:val="28"/>
                <w:highlight w:val="none"/>
                <w:lang w:eastAsia="zh-CN"/>
              </w:rPr>
              <w:t>选</w:t>
            </w:r>
            <w:r>
              <w:rPr>
                <w:rFonts w:hint="eastAsia" w:ascii="宋体" w:hAnsi="宋体" w:eastAsia="宋体" w:cs="宋体"/>
                <w:b w:val="0"/>
                <w:bCs/>
                <w:color w:val="auto"/>
                <w:sz w:val="28"/>
                <w:szCs w:val="28"/>
                <w:highlight w:val="none"/>
              </w:rPr>
              <w:t>条款</w:t>
            </w:r>
          </w:p>
        </w:tc>
        <w:tc>
          <w:tcPr>
            <w:tcW w:w="3445" w:type="pct"/>
            <w:vAlign w:val="center"/>
          </w:tcPr>
          <w:p w14:paraId="28F523A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1、响应人必须同时满足本表格第6项“参选人资格条件”所列的全部条件，否则废选；</w:t>
            </w:r>
          </w:p>
          <w:p w14:paraId="5744EDF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2、响应人必须在约定的时间内，将响应文件递交到指定地点，否则废选：</w:t>
            </w:r>
          </w:p>
        </w:tc>
      </w:tr>
      <w:tr w14:paraId="49F2D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6BE783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5</w:t>
            </w:r>
          </w:p>
        </w:tc>
        <w:tc>
          <w:tcPr>
            <w:tcW w:w="1123" w:type="pct"/>
            <w:vAlign w:val="center"/>
          </w:tcPr>
          <w:p w14:paraId="1304A9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最高限价</w:t>
            </w:r>
          </w:p>
        </w:tc>
        <w:tc>
          <w:tcPr>
            <w:tcW w:w="3445" w:type="pct"/>
            <w:vAlign w:val="center"/>
          </w:tcPr>
          <w:p w14:paraId="21A236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本工程</w:t>
            </w:r>
            <w:r>
              <w:rPr>
                <w:rFonts w:hint="eastAsia" w:ascii="宋体" w:hAnsi="宋体" w:eastAsia="宋体" w:cs="宋体"/>
                <w:b w:val="0"/>
                <w:bCs/>
                <w:color w:val="auto"/>
                <w:sz w:val="28"/>
                <w:szCs w:val="28"/>
                <w:highlight w:val="none"/>
                <w:lang w:val="en-US" w:eastAsia="zh-CN"/>
              </w:rPr>
              <w:t>不设置最高限价</w:t>
            </w:r>
          </w:p>
        </w:tc>
      </w:tr>
      <w:tr w14:paraId="4CD48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5D75AD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6</w:t>
            </w:r>
          </w:p>
        </w:tc>
        <w:tc>
          <w:tcPr>
            <w:tcW w:w="1123" w:type="pct"/>
            <w:vAlign w:val="center"/>
          </w:tcPr>
          <w:p w14:paraId="06A2433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重新竞价</w:t>
            </w:r>
          </w:p>
        </w:tc>
        <w:tc>
          <w:tcPr>
            <w:tcW w:w="3445" w:type="pct"/>
            <w:vAlign w:val="center"/>
          </w:tcPr>
          <w:p w14:paraId="747BE40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有下列情形之一的，采购人将重新竞价：</w:t>
            </w:r>
          </w:p>
          <w:p w14:paraId="3925D87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（1）响应截止时间止，响应人少于3个的；</w:t>
            </w:r>
          </w:p>
          <w:p w14:paraId="278940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（2）采购代理机构审查后否决所有响应文件的；</w:t>
            </w:r>
          </w:p>
          <w:p w14:paraId="126C6D5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（3）中选人无正当理由拒签合同的，或者中选人放弃中选或因不可抗力不能履行合同，或者被查实存在影响中选结果的违法行为等情形，中选人不符合中选条件的；</w:t>
            </w:r>
          </w:p>
          <w:p w14:paraId="0AB875C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val="en-US" w:eastAsia="zh-CN"/>
              </w:rPr>
            </w:pPr>
            <w:r>
              <w:rPr>
                <w:rFonts w:hint="eastAsia" w:ascii="宋体" w:hAnsi="宋体" w:eastAsia="宋体" w:cs="宋体"/>
                <w:b w:val="0"/>
                <w:bCs/>
                <w:color w:val="auto"/>
                <w:sz w:val="28"/>
                <w:szCs w:val="28"/>
                <w:highlight w:val="none"/>
                <w:lang w:eastAsia="zh-CN"/>
              </w:rPr>
              <w:t>（4）法律规定的其他情形。</w:t>
            </w:r>
          </w:p>
        </w:tc>
      </w:tr>
      <w:tr w14:paraId="16577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32895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7</w:t>
            </w:r>
          </w:p>
        </w:tc>
        <w:tc>
          <w:tcPr>
            <w:tcW w:w="1123" w:type="pct"/>
            <w:vAlign w:val="center"/>
          </w:tcPr>
          <w:p w14:paraId="28CC869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其他</w:t>
            </w:r>
          </w:p>
        </w:tc>
        <w:tc>
          <w:tcPr>
            <w:tcW w:w="3445" w:type="pct"/>
            <w:vAlign w:val="center"/>
          </w:tcPr>
          <w:p w14:paraId="4BE1A86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before="0" w:after="0"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本竞价文件的解释权归广东高丰建设工程有限公司、惠州市诚逸咨询有限公司惠东分公司。</w:t>
            </w:r>
          </w:p>
        </w:tc>
      </w:tr>
    </w:tbl>
    <w:p w14:paraId="1B00E8C8">
      <w:pPr>
        <w:framePr w:wrap="auto" w:vAnchor="margin" w:hAnchor="text" w:yAlign="inline"/>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br w:type="page"/>
      </w:r>
    </w:p>
    <w:p w14:paraId="0096C76D">
      <w:pPr>
        <w:framePr w:wrap="auto" w:vAnchor="margin" w:hAnchor="text" w:yAlign="inline"/>
        <w:rPr>
          <w:rFonts w:hint="eastAsia" w:ascii="宋体" w:hAnsi="宋体" w:eastAsia="宋体" w:cs="宋体"/>
          <w:color w:val="auto"/>
          <w:highlight w:val="none"/>
          <w:lang w:eastAsia="zh-CN"/>
        </w:rPr>
      </w:pPr>
    </w:p>
    <w:p w14:paraId="700649AE">
      <w:pPr>
        <w:framePr w:wrap="auto" w:vAnchor="margin" w:hAnchor="text" w:yAlign="inline"/>
        <w:adjustRightInd w:val="0"/>
        <w:snapToGrid w:val="0"/>
        <w:spacing w:line="360" w:lineRule="auto"/>
        <w:outlineLvl w:val="9"/>
        <w:rPr>
          <w:rFonts w:hint="eastAsia" w:ascii="宋体" w:hAnsi="宋体" w:eastAsia="宋体" w:cs="宋体"/>
          <w:color w:val="auto"/>
          <w:highlight w:val="none"/>
          <w:lang w:eastAsia="zh-CN"/>
        </w:rPr>
      </w:pPr>
      <w:r>
        <w:rPr>
          <w:rFonts w:hint="eastAsia" w:ascii="宋体" w:hAnsi="宋体" w:eastAsia="宋体" w:cs="宋体"/>
          <w:b/>
          <w:color w:val="auto"/>
          <w:sz w:val="28"/>
          <w:szCs w:val="28"/>
          <w:highlight w:val="none"/>
          <w:lang w:eastAsia="zh-CN"/>
        </w:rPr>
        <w:t>附表一：</w:t>
      </w:r>
    </w:p>
    <w:p w14:paraId="038F8E13">
      <w:pPr>
        <w:framePr w:wrap="auto" w:vAnchor="margin" w:hAnchor="text" w:yAlign="inline"/>
        <w:widowControl w:val="0"/>
        <w:wordWrap w:val="0"/>
        <w:topLinePunct/>
        <w:adjustRightInd w:val="0"/>
        <w:snapToGrid w:val="0"/>
        <w:spacing w:line="360" w:lineRule="auto"/>
        <w:jc w:val="center"/>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t>中选通知书</w:t>
      </w:r>
    </w:p>
    <w:p w14:paraId="5FD92FC7">
      <w:pPr>
        <w:framePr w:wrap="auto" w:vAnchor="margin" w:hAnchor="text" w:yAlign="inline"/>
        <w:widowControl w:val="0"/>
        <w:wordWrap w:val="0"/>
        <w:topLinePunct/>
        <w:adjustRightInd w:val="0"/>
        <w:snapToGrid w:val="0"/>
        <w:spacing w:line="360" w:lineRule="auto"/>
        <w:ind w:firstLine="480" w:firstLineChars="200"/>
        <w:rPr>
          <w:rFonts w:hint="eastAsia" w:ascii="宋体" w:hAnsi="宋体" w:eastAsia="宋体" w:cs="宋体"/>
          <w:color w:val="auto"/>
          <w:highlight w:val="none"/>
          <w:lang w:eastAsia="zh-CN"/>
        </w:rPr>
      </w:pPr>
    </w:p>
    <w:p w14:paraId="14503592">
      <w:pPr>
        <w:framePr w:wrap="auto" w:vAnchor="margin" w:hAnchor="text" w:yAlign="inline"/>
        <w:widowControl w:val="0"/>
        <w:wordWrap w:val="0"/>
        <w:topLinePunct/>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（中选人名称）：</w:t>
      </w:r>
    </w:p>
    <w:p w14:paraId="7DA848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u w:val="single"/>
          <w:lang w:eastAsia="zh-CN"/>
        </w:rPr>
      </w:pPr>
    </w:p>
    <w:p w14:paraId="06C1F665">
      <w:pPr>
        <w:framePr w:wrap="auto" w:vAnchor="margin" w:hAnchor="text" w:yAlign="inline"/>
        <w:widowControl w:val="0"/>
        <w:wordWrap w:val="0"/>
        <w:topLinePunct/>
        <w:adjustRightInd w:val="0"/>
        <w:snapToGrid w:val="0"/>
        <w:spacing w:line="360" w:lineRule="auto"/>
        <w:ind w:firstLine="280" w:firstLineChars="1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你方于</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（响应截止日期前）所递交的</w:t>
      </w:r>
      <w:r>
        <w:rPr>
          <w:rFonts w:hint="eastAsia" w:ascii="宋体" w:hAnsi="宋体" w:eastAsia="宋体" w:cs="宋体"/>
          <w:color w:val="auto"/>
          <w:sz w:val="28"/>
          <w:szCs w:val="28"/>
          <w:highlight w:val="none"/>
          <w:u w:val="single"/>
          <w:lang w:eastAsia="zh-CN"/>
        </w:rPr>
        <w:t>广东省惠州市惠东县稔山镇蟹洲海堤水闸重建工程</w:t>
      </w:r>
      <w:r>
        <w:rPr>
          <w:rFonts w:hint="eastAsia" w:ascii="宋体" w:hAnsi="宋体" w:eastAsia="宋体" w:cs="宋体"/>
          <w:color w:val="auto"/>
          <w:sz w:val="28"/>
          <w:szCs w:val="28"/>
          <w:highlight w:val="none"/>
          <w:u w:val="single"/>
          <w:lang w:eastAsia="zh-CN"/>
        </w:rPr>
        <w:t>（编号11号）商品混凝土</w:t>
      </w:r>
      <w:r>
        <w:rPr>
          <w:rFonts w:hint="eastAsia" w:ascii="宋体" w:hAnsi="宋体" w:eastAsia="宋体" w:cs="宋体"/>
          <w:color w:val="auto"/>
          <w:sz w:val="28"/>
          <w:szCs w:val="28"/>
          <w:highlight w:val="none"/>
          <w:lang w:val="en-US" w:eastAsia="zh-CN"/>
        </w:rPr>
        <w:t>项目编号：</w:t>
      </w:r>
      <w:r>
        <w:rPr>
          <w:rFonts w:hint="eastAsia" w:ascii="宋体" w:hAnsi="宋体" w:eastAsia="宋体" w:cs="宋体"/>
          <w:color w:val="auto"/>
          <w:sz w:val="28"/>
          <w:szCs w:val="28"/>
          <w:highlight w:val="none"/>
          <w:u w:val="single"/>
          <w:lang w:eastAsia="zh-CN"/>
        </w:rPr>
        <w:t>HZCY2024009-11</w:t>
      </w:r>
      <w:r>
        <w:rPr>
          <w:rFonts w:hint="eastAsia" w:ascii="宋体" w:hAnsi="宋体" w:eastAsia="宋体" w:cs="宋体"/>
          <w:color w:val="auto"/>
          <w:sz w:val="28"/>
          <w:szCs w:val="28"/>
          <w:highlight w:val="none"/>
          <w:lang w:eastAsia="zh-CN"/>
        </w:rPr>
        <w:t>响应文件已被</w:t>
      </w: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lang w:eastAsia="zh-CN"/>
        </w:rPr>
        <w:t>接受，被确定为中选人。</w:t>
      </w:r>
    </w:p>
    <w:p w14:paraId="4D3C4DC2">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中选</w:t>
      </w:r>
      <w:r>
        <w:rPr>
          <w:rFonts w:hint="eastAsia" w:ascii="宋体" w:hAnsi="宋体" w:eastAsia="宋体" w:cs="宋体"/>
          <w:color w:val="auto"/>
          <w:sz w:val="28"/>
          <w:szCs w:val="28"/>
          <w:highlight w:val="none"/>
          <w:lang w:val="en-US" w:eastAsia="zh-CN"/>
        </w:rPr>
        <w:t>金额</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元。</w:t>
      </w:r>
    </w:p>
    <w:p w14:paraId="3272DD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工期</w:t>
      </w:r>
      <w:r>
        <w:rPr>
          <w:rFonts w:hint="eastAsia" w:ascii="宋体" w:hAnsi="宋体" w:eastAsia="宋体" w:cs="宋体"/>
          <w:color w:val="auto"/>
          <w:sz w:val="28"/>
          <w:szCs w:val="28"/>
          <w:highlight w:val="none"/>
          <w:lang w:val="en-US" w:eastAsia="zh-CN"/>
        </w:rPr>
        <w:t>时间</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w:t>
      </w:r>
    </w:p>
    <w:p w14:paraId="608A263A">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请你方在接到本通知书后的</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日内到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与采购人签订合同。</w:t>
      </w:r>
    </w:p>
    <w:p w14:paraId="11AF57B0">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p>
    <w:p w14:paraId="1492510B">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特此通知。</w:t>
      </w:r>
    </w:p>
    <w:p w14:paraId="684AF9C1">
      <w:pPr>
        <w:framePr w:wrap="auto" w:vAnchor="margin" w:hAnchor="text" w:yAlign="inline"/>
        <w:widowControl w:val="0"/>
        <w:wordWrap w:val="0"/>
        <w:topLinePunct/>
        <w:adjustRightInd w:val="0"/>
        <w:snapToGrid w:val="0"/>
        <w:spacing w:line="360" w:lineRule="auto"/>
        <w:ind w:firstLine="4317" w:firstLineChars="1542"/>
        <w:jc w:val="left"/>
        <w:rPr>
          <w:rFonts w:hint="eastAsia" w:ascii="宋体" w:hAnsi="宋体" w:eastAsia="宋体" w:cs="宋体"/>
          <w:color w:val="auto"/>
          <w:sz w:val="28"/>
          <w:szCs w:val="28"/>
          <w:highlight w:val="none"/>
          <w:lang w:eastAsia="zh-CN"/>
        </w:rPr>
      </w:pPr>
    </w:p>
    <w:p w14:paraId="78EA82A2">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广东高丰建设工程有限公司</w:t>
      </w:r>
    </w:p>
    <w:p w14:paraId="2F6D8D57">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采购代理机构：惠州市诚逸咨询有限公司惠东分公司</w:t>
      </w:r>
    </w:p>
    <w:p w14:paraId="3533B6A0">
      <w:pPr>
        <w:pStyle w:val="31"/>
        <w:framePr w:wrap="auto" w:vAnchor="margin" w:hAnchor="text" w:yAlign="inline"/>
        <w:wordWrap/>
        <w:spacing w:line="440" w:lineRule="exact"/>
        <w:jc w:val="right"/>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14:paraId="2F2A6D7C">
      <w:pPr>
        <w:framePr w:wrap="auto" w:vAnchor="margin" w:hAnchor="text" w:yAlign="inline"/>
        <w:rPr>
          <w:rFonts w:hint="eastAsia" w:ascii="宋体" w:hAnsi="宋体" w:eastAsia="宋体" w:cs="宋体"/>
          <w:b/>
          <w:bCs/>
          <w:color w:val="auto"/>
          <w:sz w:val="32"/>
          <w:szCs w:val="32"/>
          <w:highlight w:val="none"/>
          <w:lang w:eastAsia="zh-CN"/>
        </w:rPr>
        <w:sectPr>
          <w:footerReference r:id="rId5" w:type="default"/>
          <w:pgSz w:w="11900" w:h="16840"/>
          <w:pgMar w:top="1440" w:right="1697" w:bottom="1440" w:left="1803" w:header="851" w:footer="992" w:gutter="0"/>
          <w:pgBorders>
            <w:top w:val="none" w:sz="0" w:space="0"/>
            <w:left w:val="none" w:sz="0" w:space="0"/>
            <w:bottom w:val="none" w:sz="0" w:space="0"/>
            <w:right w:val="none" w:sz="0" w:space="0"/>
          </w:pgBorders>
          <w:pgNumType w:fmt="decimal" w:start="2"/>
          <w:cols w:space="0" w:num="1"/>
          <w:rtlGutter w:val="0"/>
          <w:docGrid w:linePitch="0" w:charSpace="0"/>
        </w:sectPr>
      </w:pPr>
      <w:r>
        <w:rPr>
          <w:rFonts w:hint="eastAsia" w:ascii="宋体" w:hAnsi="宋体" w:eastAsia="宋体" w:cs="宋体"/>
          <w:b/>
          <w:bCs/>
          <w:color w:val="auto"/>
          <w:sz w:val="32"/>
          <w:szCs w:val="32"/>
          <w:highlight w:val="none"/>
          <w:lang w:eastAsia="zh-CN"/>
        </w:rPr>
        <w:br w:type="page"/>
      </w:r>
    </w:p>
    <w:p w14:paraId="0AC69A01">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5" w:name="_Toc14264"/>
      <w:bookmarkStart w:id="16" w:name="_Toc19210"/>
      <w:r>
        <w:rPr>
          <w:rFonts w:hint="eastAsia" w:ascii="宋体" w:hAnsi="宋体" w:eastAsia="宋体" w:cs="宋体"/>
          <w:b/>
          <w:bCs/>
          <w:color w:val="auto"/>
          <w:sz w:val="32"/>
          <w:szCs w:val="32"/>
          <w:highlight w:val="none"/>
          <w:lang w:val="en-US" w:eastAsia="zh-CN"/>
        </w:rPr>
        <w:t>第三部分</w:t>
      </w:r>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val="en-US" w:eastAsia="zh-CN"/>
        </w:rPr>
        <w:t>工程量清单</w:t>
      </w:r>
      <w:bookmarkEnd w:id="15"/>
      <w:bookmarkEnd w:id="16"/>
    </w:p>
    <w:tbl>
      <w:tblPr>
        <w:tblStyle w:val="18"/>
        <w:tblW w:w="9415" w:type="dxa"/>
        <w:jc w:val="center"/>
        <w:tblLayout w:type="fixed"/>
        <w:tblCellMar>
          <w:top w:w="0" w:type="dxa"/>
          <w:left w:w="108" w:type="dxa"/>
          <w:bottom w:w="0" w:type="dxa"/>
          <w:right w:w="108" w:type="dxa"/>
        </w:tblCellMar>
      </w:tblPr>
      <w:tblGrid>
        <w:gridCol w:w="560"/>
        <w:gridCol w:w="1449"/>
        <w:gridCol w:w="1251"/>
        <w:gridCol w:w="1068"/>
        <w:gridCol w:w="1068"/>
        <w:gridCol w:w="1370"/>
        <w:gridCol w:w="1581"/>
        <w:gridCol w:w="1068"/>
      </w:tblGrid>
      <w:tr w14:paraId="243BE8EA">
        <w:tblPrEx>
          <w:tblCellMar>
            <w:top w:w="0" w:type="dxa"/>
            <w:left w:w="108" w:type="dxa"/>
            <w:bottom w:w="0" w:type="dxa"/>
            <w:right w:w="108" w:type="dxa"/>
          </w:tblCellMar>
        </w:tblPrEx>
        <w:trPr>
          <w:trHeight w:val="1420" w:hRule="atLeast"/>
          <w:jc w:val="center"/>
        </w:trPr>
        <w:tc>
          <w:tcPr>
            <w:tcW w:w="560" w:type="dxa"/>
            <w:tcBorders>
              <w:top w:val="single" w:color="auto" w:sz="4" w:space="0"/>
              <w:left w:val="single" w:color="auto" w:sz="4" w:space="0"/>
              <w:bottom w:val="single" w:color="auto" w:sz="4" w:space="0"/>
              <w:right w:val="single" w:color="auto" w:sz="4" w:space="0"/>
            </w:tcBorders>
            <w:noWrap w:val="0"/>
            <w:vAlign w:val="center"/>
          </w:tcPr>
          <w:p w14:paraId="2165C5A4">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2"/>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序号</w:t>
            </w:r>
          </w:p>
        </w:tc>
        <w:tc>
          <w:tcPr>
            <w:tcW w:w="1449" w:type="dxa"/>
            <w:tcBorders>
              <w:top w:val="single" w:color="auto" w:sz="4" w:space="0"/>
              <w:left w:val="single" w:color="auto" w:sz="4" w:space="0"/>
              <w:bottom w:val="single" w:color="auto" w:sz="4" w:space="0"/>
              <w:right w:val="single" w:color="auto" w:sz="4" w:space="0"/>
            </w:tcBorders>
            <w:noWrap w:val="0"/>
            <w:vAlign w:val="center"/>
          </w:tcPr>
          <w:p w14:paraId="731332E2">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2"/>
                <w:sz w:val="24"/>
                <w:szCs w:val="24"/>
                <w:highlight w:val="none"/>
                <w:shd w:val="clear" w:color="auto" w:fill="auto"/>
                <w:lang w:val="zh-CN" w:eastAsia="zh-CN"/>
              </w:rPr>
            </w:pPr>
            <w:r>
              <w:rPr>
                <w:rFonts w:hint="eastAsia" w:ascii="仿宋" w:hAnsi="仿宋" w:eastAsia="仿宋" w:cs="仿宋"/>
                <w:i w:val="0"/>
                <w:color w:val="auto"/>
                <w:kern w:val="0"/>
                <w:sz w:val="24"/>
                <w:szCs w:val="24"/>
                <w:highlight w:val="none"/>
                <w:u w:val="none"/>
                <w:lang w:val="en-US" w:eastAsia="zh-CN" w:bidi="ar"/>
              </w:rPr>
              <w:t>材料名称</w:t>
            </w:r>
          </w:p>
        </w:tc>
        <w:tc>
          <w:tcPr>
            <w:tcW w:w="1251" w:type="dxa"/>
            <w:tcBorders>
              <w:top w:val="single" w:color="auto" w:sz="4" w:space="0"/>
              <w:left w:val="single" w:color="auto" w:sz="4" w:space="0"/>
              <w:bottom w:val="single" w:color="auto" w:sz="4" w:space="0"/>
              <w:right w:val="single" w:color="auto" w:sz="4" w:space="0"/>
            </w:tcBorders>
            <w:noWrap w:val="0"/>
            <w:vAlign w:val="center"/>
          </w:tcPr>
          <w:p w14:paraId="7312D104">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2"/>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规格型号</w:t>
            </w:r>
          </w:p>
        </w:tc>
        <w:tc>
          <w:tcPr>
            <w:tcW w:w="1068" w:type="dxa"/>
            <w:tcBorders>
              <w:top w:val="single" w:color="auto" w:sz="4" w:space="0"/>
              <w:left w:val="single" w:color="auto" w:sz="4" w:space="0"/>
              <w:bottom w:val="single" w:color="auto" w:sz="4" w:space="0"/>
              <w:right w:val="single" w:color="auto" w:sz="4" w:space="0"/>
            </w:tcBorders>
            <w:noWrap w:val="0"/>
            <w:vAlign w:val="center"/>
          </w:tcPr>
          <w:p w14:paraId="46964D5E">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2"/>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单位</w:t>
            </w:r>
          </w:p>
        </w:tc>
        <w:tc>
          <w:tcPr>
            <w:tcW w:w="1068" w:type="dxa"/>
            <w:tcBorders>
              <w:top w:val="single" w:color="auto" w:sz="4" w:space="0"/>
              <w:left w:val="single" w:color="auto" w:sz="4" w:space="0"/>
              <w:bottom w:val="single" w:color="auto" w:sz="4" w:space="0"/>
              <w:right w:val="single" w:color="auto" w:sz="4" w:space="0"/>
            </w:tcBorders>
            <w:noWrap w:val="0"/>
            <w:vAlign w:val="center"/>
          </w:tcPr>
          <w:p w14:paraId="45497574">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2"/>
                <w:sz w:val="24"/>
                <w:szCs w:val="24"/>
                <w:highlight w:val="none"/>
                <w:shd w:val="clear" w:color="auto" w:fill="auto"/>
                <w:lang w:val="zh-CN" w:eastAsia="zh-CN"/>
              </w:rPr>
            </w:pPr>
            <w:r>
              <w:rPr>
                <w:rFonts w:hint="eastAsia" w:ascii="仿宋" w:hAnsi="仿宋" w:eastAsia="仿宋" w:cs="仿宋"/>
                <w:i w:val="0"/>
                <w:color w:val="auto"/>
                <w:kern w:val="0"/>
                <w:sz w:val="24"/>
                <w:szCs w:val="24"/>
                <w:highlight w:val="none"/>
                <w:u w:val="none"/>
                <w:lang w:val="en-US" w:eastAsia="zh-CN" w:bidi="ar"/>
              </w:rPr>
              <w:t>数量</w:t>
            </w:r>
          </w:p>
        </w:tc>
        <w:tc>
          <w:tcPr>
            <w:tcW w:w="1370" w:type="dxa"/>
            <w:tcBorders>
              <w:top w:val="single" w:color="auto" w:sz="4" w:space="0"/>
              <w:left w:val="single" w:color="auto" w:sz="4" w:space="0"/>
              <w:bottom w:val="single" w:color="000000" w:sz="4" w:space="0"/>
              <w:right w:val="single" w:color="auto" w:sz="4" w:space="0"/>
            </w:tcBorders>
            <w:noWrap w:val="0"/>
            <w:vAlign w:val="center"/>
          </w:tcPr>
          <w:p w14:paraId="7E035519">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2"/>
                <w:sz w:val="24"/>
                <w:szCs w:val="24"/>
                <w:highlight w:val="none"/>
                <w:shd w:val="clear" w:color="auto" w:fill="auto"/>
                <w:lang w:val="zh-CN" w:eastAsia="zh-CN"/>
              </w:rPr>
            </w:pPr>
            <w:r>
              <w:rPr>
                <w:rFonts w:hint="eastAsia" w:ascii="仿宋" w:hAnsi="仿宋" w:eastAsia="仿宋" w:cs="仿宋"/>
                <w:i w:val="0"/>
                <w:color w:val="auto"/>
                <w:kern w:val="0"/>
                <w:sz w:val="24"/>
                <w:szCs w:val="24"/>
                <w:highlight w:val="none"/>
                <w:u w:val="none"/>
                <w:lang w:val="en-US" w:eastAsia="zh-CN" w:bidi="ar"/>
              </w:rPr>
              <w:t>含增值税单价（元）</w:t>
            </w:r>
          </w:p>
        </w:tc>
        <w:tc>
          <w:tcPr>
            <w:tcW w:w="1581" w:type="dxa"/>
            <w:tcBorders>
              <w:top w:val="single" w:color="auto" w:sz="4" w:space="0"/>
              <w:left w:val="single" w:color="auto" w:sz="4" w:space="0"/>
              <w:bottom w:val="single" w:color="auto" w:sz="4" w:space="0"/>
              <w:right w:val="single" w:color="auto" w:sz="4" w:space="0"/>
            </w:tcBorders>
            <w:noWrap w:val="0"/>
            <w:vAlign w:val="center"/>
          </w:tcPr>
          <w:p w14:paraId="17854A4F">
            <w:pPr>
              <w:keepNext w:val="0"/>
              <w:keepLines w:val="0"/>
              <w:framePr w:wrap="auto" w:vAnchor="margin" w:hAnchor="text" w:yAlign="inline"/>
              <w:widowControl/>
              <w:suppressLineNumbers w:val="0"/>
              <w:jc w:val="center"/>
              <w:textAlignment w:val="center"/>
              <w:rPr>
                <w:rFonts w:hint="eastAsia" w:ascii="仿宋" w:hAnsi="仿宋" w:eastAsia="仿宋" w:cs="仿宋"/>
                <w:bCs/>
                <w:color w:val="auto"/>
                <w:kern w:val="0"/>
                <w:sz w:val="24"/>
                <w:szCs w:val="24"/>
                <w:highlight w:val="none"/>
                <w:shd w:val="clear" w:color="auto" w:fill="auto"/>
                <w:lang w:val="en-US" w:eastAsia="zh-CN"/>
              </w:rPr>
            </w:pPr>
            <w:r>
              <w:rPr>
                <w:rFonts w:hint="eastAsia" w:ascii="仿宋" w:hAnsi="仿宋" w:eastAsia="仿宋" w:cs="仿宋"/>
                <w:color w:val="auto"/>
                <w:kern w:val="2"/>
                <w:highlight w:val="none"/>
                <w:u w:val="none"/>
                <w:lang w:val="en-US" w:eastAsia="zh-CN" w:bidi="ar"/>
              </w:rPr>
              <w:t>含增值税金额（元）</w:t>
            </w:r>
          </w:p>
        </w:tc>
        <w:tc>
          <w:tcPr>
            <w:tcW w:w="1068" w:type="dxa"/>
            <w:tcBorders>
              <w:top w:val="single" w:color="auto" w:sz="4" w:space="0"/>
              <w:left w:val="single" w:color="auto" w:sz="4" w:space="0"/>
              <w:bottom w:val="single" w:color="auto" w:sz="4" w:space="0"/>
              <w:right w:val="single" w:color="auto" w:sz="4" w:space="0"/>
            </w:tcBorders>
            <w:noWrap w:val="0"/>
            <w:vAlign w:val="center"/>
          </w:tcPr>
          <w:p w14:paraId="4EBC6B9F">
            <w:pPr>
              <w:keepNext w:val="0"/>
              <w:keepLines w:val="0"/>
              <w:framePr w:wrap="auto" w:vAnchor="margin" w:hAnchor="text" w:yAlign="inline"/>
              <w:widowControl/>
              <w:suppressLineNumbers w:val="0"/>
              <w:jc w:val="center"/>
              <w:textAlignment w:val="center"/>
              <w:rPr>
                <w:rFonts w:hint="eastAsia" w:ascii="仿宋" w:hAnsi="仿宋" w:eastAsia="仿宋" w:cs="仿宋"/>
                <w:bCs/>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备注</w:t>
            </w:r>
          </w:p>
        </w:tc>
      </w:tr>
      <w:tr w14:paraId="1D952119">
        <w:tblPrEx>
          <w:tblCellMar>
            <w:top w:w="0" w:type="dxa"/>
            <w:left w:w="108" w:type="dxa"/>
            <w:bottom w:w="0" w:type="dxa"/>
            <w:right w:w="108" w:type="dxa"/>
          </w:tblCellMar>
        </w:tblPrEx>
        <w:trPr>
          <w:trHeight w:val="665" w:hRule="exact"/>
          <w:jc w:val="center"/>
        </w:trPr>
        <w:tc>
          <w:tcPr>
            <w:tcW w:w="560" w:type="dxa"/>
            <w:tcBorders>
              <w:top w:val="single" w:color="auto" w:sz="4" w:space="0"/>
              <w:left w:val="single" w:color="auto" w:sz="4" w:space="0"/>
              <w:bottom w:val="single" w:color="auto" w:sz="4" w:space="0"/>
              <w:right w:val="single" w:color="auto" w:sz="4" w:space="0"/>
            </w:tcBorders>
            <w:noWrap w:val="0"/>
            <w:vAlign w:val="center"/>
          </w:tcPr>
          <w:p w14:paraId="5487A6D1">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1</w:t>
            </w:r>
          </w:p>
        </w:tc>
        <w:tc>
          <w:tcPr>
            <w:tcW w:w="1449" w:type="dxa"/>
            <w:tcBorders>
              <w:top w:val="single" w:color="auto" w:sz="4" w:space="0"/>
              <w:left w:val="single" w:color="auto" w:sz="4" w:space="0"/>
              <w:bottom w:val="single" w:color="auto" w:sz="4" w:space="0"/>
              <w:right w:val="single" w:color="auto" w:sz="4" w:space="0"/>
            </w:tcBorders>
            <w:noWrap w:val="0"/>
            <w:vAlign w:val="center"/>
          </w:tcPr>
          <w:p w14:paraId="4187C96E">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商品混凝土</w:t>
            </w:r>
          </w:p>
        </w:tc>
        <w:tc>
          <w:tcPr>
            <w:tcW w:w="1251" w:type="dxa"/>
            <w:tcBorders>
              <w:top w:val="single" w:color="auto" w:sz="4" w:space="0"/>
              <w:left w:val="nil"/>
              <w:bottom w:val="single" w:color="auto" w:sz="4" w:space="0"/>
              <w:right w:val="single" w:color="auto" w:sz="4" w:space="0"/>
            </w:tcBorders>
            <w:noWrap w:val="0"/>
            <w:vAlign w:val="center"/>
          </w:tcPr>
          <w:p w14:paraId="71A66A8E">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C15</w:t>
            </w:r>
          </w:p>
        </w:tc>
        <w:tc>
          <w:tcPr>
            <w:tcW w:w="1068" w:type="dxa"/>
            <w:tcBorders>
              <w:top w:val="nil"/>
              <w:left w:val="nil"/>
              <w:bottom w:val="single" w:color="auto" w:sz="4" w:space="0"/>
              <w:right w:val="single" w:color="auto" w:sz="4" w:space="0"/>
            </w:tcBorders>
            <w:noWrap w:val="0"/>
            <w:vAlign w:val="center"/>
          </w:tcPr>
          <w:p w14:paraId="2FF8FE5E">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m³</w:t>
            </w:r>
          </w:p>
        </w:tc>
        <w:tc>
          <w:tcPr>
            <w:tcW w:w="1068" w:type="dxa"/>
            <w:tcBorders>
              <w:top w:val="nil"/>
              <w:left w:val="nil"/>
              <w:bottom w:val="single" w:color="auto" w:sz="4" w:space="0"/>
              <w:right w:val="single" w:color="auto" w:sz="4" w:space="0"/>
            </w:tcBorders>
            <w:noWrap w:val="0"/>
            <w:vAlign w:val="center"/>
          </w:tcPr>
          <w:p w14:paraId="53B377E8">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30</w:t>
            </w:r>
          </w:p>
        </w:tc>
        <w:tc>
          <w:tcPr>
            <w:tcW w:w="1370" w:type="dxa"/>
            <w:tcBorders>
              <w:top w:val="nil"/>
              <w:left w:val="nil"/>
              <w:bottom w:val="single" w:color="auto" w:sz="4" w:space="0"/>
              <w:right w:val="single" w:color="auto" w:sz="4" w:space="0"/>
            </w:tcBorders>
            <w:noWrap w:val="0"/>
            <w:vAlign w:val="center"/>
          </w:tcPr>
          <w:p w14:paraId="6D1CC410">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0"/>
                <w:sz w:val="24"/>
                <w:szCs w:val="24"/>
                <w:highlight w:val="none"/>
                <w:shd w:val="clear" w:color="auto" w:fill="auto"/>
                <w:lang w:val="en-US" w:eastAsia="zh-CN"/>
              </w:rPr>
            </w:pPr>
          </w:p>
        </w:tc>
        <w:tc>
          <w:tcPr>
            <w:tcW w:w="1581" w:type="dxa"/>
            <w:tcBorders>
              <w:top w:val="single" w:color="auto" w:sz="4" w:space="0"/>
              <w:left w:val="single" w:color="auto" w:sz="4" w:space="0"/>
              <w:bottom w:val="single" w:color="auto" w:sz="4" w:space="0"/>
              <w:right w:val="single" w:color="auto" w:sz="4" w:space="0"/>
            </w:tcBorders>
            <w:noWrap w:val="0"/>
            <w:vAlign w:val="center"/>
          </w:tcPr>
          <w:p w14:paraId="281A82D5">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zh-CN" w:eastAsia="zh-CN"/>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14:paraId="01EB55C5">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zh-CN" w:eastAsia="zh-CN"/>
              </w:rPr>
            </w:pPr>
          </w:p>
        </w:tc>
      </w:tr>
      <w:tr w14:paraId="2D9DDC9B">
        <w:tblPrEx>
          <w:tblCellMar>
            <w:top w:w="0" w:type="dxa"/>
            <w:left w:w="108" w:type="dxa"/>
            <w:bottom w:w="0" w:type="dxa"/>
            <w:right w:w="108" w:type="dxa"/>
          </w:tblCellMar>
        </w:tblPrEx>
        <w:trPr>
          <w:trHeight w:val="665" w:hRule="exact"/>
          <w:jc w:val="center"/>
        </w:trPr>
        <w:tc>
          <w:tcPr>
            <w:tcW w:w="560" w:type="dxa"/>
            <w:tcBorders>
              <w:top w:val="single" w:color="auto" w:sz="4" w:space="0"/>
              <w:left w:val="single" w:color="auto" w:sz="4" w:space="0"/>
              <w:bottom w:val="single" w:color="auto" w:sz="4" w:space="0"/>
              <w:right w:val="single" w:color="auto" w:sz="4" w:space="0"/>
            </w:tcBorders>
            <w:noWrap w:val="0"/>
            <w:vAlign w:val="center"/>
          </w:tcPr>
          <w:p w14:paraId="0C73D4AD">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2</w:t>
            </w:r>
          </w:p>
        </w:tc>
        <w:tc>
          <w:tcPr>
            <w:tcW w:w="1449" w:type="dxa"/>
            <w:tcBorders>
              <w:top w:val="single" w:color="auto" w:sz="4" w:space="0"/>
              <w:left w:val="single" w:color="auto" w:sz="4" w:space="0"/>
              <w:bottom w:val="single" w:color="auto" w:sz="4" w:space="0"/>
              <w:right w:val="single" w:color="auto" w:sz="4" w:space="0"/>
            </w:tcBorders>
            <w:noWrap w:val="0"/>
            <w:vAlign w:val="center"/>
          </w:tcPr>
          <w:p w14:paraId="2D6BE178">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商品混凝土</w:t>
            </w:r>
          </w:p>
        </w:tc>
        <w:tc>
          <w:tcPr>
            <w:tcW w:w="1251" w:type="dxa"/>
            <w:tcBorders>
              <w:top w:val="single" w:color="auto" w:sz="4" w:space="0"/>
              <w:left w:val="nil"/>
              <w:bottom w:val="single" w:color="auto" w:sz="4" w:space="0"/>
              <w:right w:val="single" w:color="auto" w:sz="4" w:space="0"/>
            </w:tcBorders>
            <w:noWrap w:val="0"/>
            <w:vAlign w:val="center"/>
          </w:tcPr>
          <w:p w14:paraId="17839C4A">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C20</w:t>
            </w:r>
          </w:p>
        </w:tc>
        <w:tc>
          <w:tcPr>
            <w:tcW w:w="1068" w:type="dxa"/>
            <w:tcBorders>
              <w:top w:val="nil"/>
              <w:left w:val="nil"/>
              <w:bottom w:val="single" w:color="auto" w:sz="4" w:space="0"/>
              <w:right w:val="single" w:color="auto" w:sz="4" w:space="0"/>
            </w:tcBorders>
            <w:noWrap w:val="0"/>
            <w:vAlign w:val="center"/>
          </w:tcPr>
          <w:p w14:paraId="2E4C90BB">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m³</w:t>
            </w:r>
          </w:p>
        </w:tc>
        <w:tc>
          <w:tcPr>
            <w:tcW w:w="1068" w:type="dxa"/>
            <w:tcBorders>
              <w:top w:val="nil"/>
              <w:left w:val="nil"/>
              <w:bottom w:val="single" w:color="auto" w:sz="4" w:space="0"/>
              <w:right w:val="single" w:color="auto" w:sz="4" w:space="0"/>
            </w:tcBorders>
            <w:noWrap w:val="0"/>
            <w:vAlign w:val="center"/>
          </w:tcPr>
          <w:p w14:paraId="05D41C4B">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1666</w:t>
            </w:r>
          </w:p>
        </w:tc>
        <w:tc>
          <w:tcPr>
            <w:tcW w:w="1370" w:type="dxa"/>
            <w:tcBorders>
              <w:top w:val="nil"/>
              <w:left w:val="nil"/>
              <w:bottom w:val="single" w:color="auto" w:sz="4" w:space="0"/>
              <w:right w:val="single" w:color="auto" w:sz="4" w:space="0"/>
            </w:tcBorders>
            <w:noWrap w:val="0"/>
            <w:vAlign w:val="center"/>
          </w:tcPr>
          <w:p w14:paraId="573C7302">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p>
        </w:tc>
        <w:tc>
          <w:tcPr>
            <w:tcW w:w="1581" w:type="dxa"/>
            <w:tcBorders>
              <w:top w:val="single" w:color="auto" w:sz="4" w:space="0"/>
              <w:left w:val="single" w:color="auto" w:sz="4" w:space="0"/>
              <w:bottom w:val="single" w:color="auto" w:sz="4" w:space="0"/>
              <w:right w:val="single" w:color="auto" w:sz="4" w:space="0"/>
            </w:tcBorders>
            <w:noWrap w:val="0"/>
            <w:vAlign w:val="center"/>
          </w:tcPr>
          <w:p w14:paraId="13752F77">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zh-CN" w:eastAsia="zh-CN"/>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14:paraId="4C958823">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zh-CN" w:eastAsia="zh-CN"/>
              </w:rPr>
            </w:pPr>
          </w:p>
        </w:tc>
      </w:tr>
      <w:tr w14:paraId="29A2B949">
        <w:tblPrEx>
          <w:tblCellMar>
            <w:top w:w="0" w:type="dxa"/>
            <w:left w:w="108" w:type="dxa"/>
            <w:bottom w:w="0" w:type="dxa"/>
            <w:right w:w="108" w:type="dxa"/>
          </w:tblCellMar>
        </w:tblPrEx>
        <w:trPr>
          <w:trHeight w:val="665" w:hRule="exact"/>
          <w:jc w:val="center"/>
        </w:trPr>
        <w:tc>
          <w:tcPr>
            <w:tcW w:w="560" w:type="dxa"/>
            <w:tcBorders>
              <w:top w:val="single" w:color="auto" w:sz="4" w:space="0"/>
              <w:left w:val="single" w:color="auto" w:sz="4" w:space="0"/>
              <w:bottom w:val="single" w:color="auto" w:sz="4" w:space="0"/>
              <w:right w:val="single" w:color="auto" w:sz="4" w:space="0"/>
            </w:tcBorders>
            <w:noWrap w:val="0"/>
            <w:vAlign w:val="center"/>
          </w:tcPr>
          <w:p w14:paraId="5477822C">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3</w:t>
            </w:r>
          </w:p>
        </w:tc>
        <w:tc>
          <w:tcPr>
            <w:tcW w:w="1449" w:type="dxa"/>
            <w:tcBorders>
              <w:top w:val="single" w:color="auto" w:sz="4" w:space="0"/>
              <w:left w:val="single" w:color="auto" w:sz="4" w:space="0"/>
              <w:bottom w:val="single" w:color="auto" w:sz="4" w:space="0"/>
              <w:right w:val="single" w:color="auto" w:sz="4" w:space="0"/>
            </w:tcBorders>
            <w:noWrap w:val="0"/>
            <w:vAlign w:val="center"/>
          </w:tcPr>
          <w:p w14:paraId="3F3BA5F9">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商品混凝土</w:t>
            </w:r>
          </w:p>
        </w:tc>
        <w:tc>
          <w:tcPr>
            <w:tcW w:w="1251" w:type="dxa"/>
            <w:tcBorders>
              <w:top w:val="single" w:color="auto" w:sz="4" w:space="0"/>
              <w:left w:val="nil"/>
              <w:bottom w:val="single" w:color="auto" w:sz="4" w:space="0"/>
              <w:right w:val="single" w:color="auto" w:sz="4" w:space="0"/>
            </w:tcBorders>
            <w:noWrap w:val="0"/>
            <w:vAlign w:val="center"/>
          </w:tcPr>
          <w:p w14:paraId="67E26498">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C25</w:t>
            </w:r>
          </w:p>
        </w:tc>
        <w:tc>
          <w:tcPr>
            <w:tcW w:w="1068" w:type="dxa"/>
            <w:tcBorders>
              <w:top w:val="nil"/>
              <w:left w:val="nil"/>
              <w:bottom w:val="single" w:color="auto" w:sz="4" w:space="0"/>
              <w:right w:val="single" w:color="auto" w:sz="4" w:space="0"/>
            </w:tcBorders>
            <w:noWrap w:val="0"/>
            <w:vAlign w:val="center"/>
          </w:tcPr>
          <w:p w14:paraId="7B325F1C">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m³</w:t>
            </w:r>
          </w:p>
        </w:tc>
        <w:tc>
          <w:tcPr>
            <w:tcW w:w="1068" w:type="dxa"/>
            <w:tcBorders>
              <w:top w:val="nil"/>
              <w:left w:val="nil"/>
              <w:bottom w:val="single" w:color="auto" w:sz="4" w:space="0"/>
              <w:right w:val="single" w:color="auto" w:sz="4" w:space="0"/>
            </w:tcBorders>
            <w:noWrap w:val="0"/>
            <w:vAlign w:val="center"/>
          </w:tcPr>
          <w:p w14:paraId="33A6F189">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2234</w:t>
            </w:r>
          </w:p>
        </w:tc>
        <w:tc>
          <w:tcPr>
            <w:tcW w:w="1370" w:type="dxa"/>
            <w:tcBorders>
              <w:top w:val="nil"/>
              <w:left w:val="nil"/>
              <w:bottom w:val="single" w:color="auto" w:sz="4" w:space="0"/>
              <w:right w:val="single" w:color="auto" w:sz="4" w:space="0"/>
            </w:tcBorders>
            <w:noWrap w:val="0"/>
            <w:vAlign w:val="center"/>
          </w:tcPr>
          <w:p w14:paraId="28C8088E">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0"/>
                <w:sz w:val="24"/>
                <w:szCs w:val="24"/>
                <w:highlight w:val="none"/>
                <w:shd w:val="clear" w:color="auto" w:fill="auto"/>
                <w:lang w:val="en-US" w:eastAsia="zh-CN"/>
              </w:rPr>
            </w:pPr>
          </w:p>
        </w:tc>
        <w:tc>
          <w:tcPr>
            <w:tcW w:w="1581" w:type="dxa"/>
            <w:tcBorders>
              <w:top w:val="single" w:color="auto" w:sz="4" w:space="0"/>
              <w:left w:val="single" w:color="auto" w:sz="4" w:space="0"/>
              <w:bottom w:val="single" w:color="auto" w:sz="4" w:space="0"/>
              <w:right w:val="single" w:color="auto" w:sz="4" w:space="0"/>
            </w:tcBorders>
            <w:noWrap w:val="0"/>
            <w:vAlign w:val="center"/>
          </w:tcPr>
          <w:p w14:paraId="35191B16">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zh-CN" w:eastAsia="zh-CN"/>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14:paraId="3CEBF3F2">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zh-CN" w:eastAsia="zh-CN"/>
              </w:rPr>
            </w:pPr>
          </w:p>
        </w:tc>
      </w:tr>
      <w:tr w14:paraId="00E15DE6">
        <w:tblPrEx>
          <w:tblCellMar>
            <w:top w:w="0" w:type="dxa"/>
            <w:left w:w="108" w:type="dxa"/>
            <w:bottom w:w="0" w:type="dxa"/>
            <w:right w:w="108" w:type="dxa"/>
          </w:tblCellMar>
        </w:tblPrEx>
        <w:trPr>
          <w:trHeight w:val="710" w:hRule="exact"/>
          <w:jc w:val="center"/>
        </w:trPr>
        <w:tc>
          <w:tcPr>
            <w:tcW w:w="560" w:type="dxa"/>
            <w:tcBorders>
              <w:top w:val="single" w:color="auto" w:sz="4" w:space="0"/>
              <w:left w:val="single" w:color="auto" w:sz="4" w:space="0"/>
              <w:bottom w:val="single" w:color="auto" w:sz="4" w:space="0"/>
              <w:right w:val="single" w:color="auto" w:sz="4" w:space="0"/>
            </w:tcBorders>
            <w:noWrap w:val="0"/>
            <w:vAlign w:val="center"/>
          </w:tcPr>
          <w:p w14:paraId="54A02CF8">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4</w:t>
            </w:r>
          </w:p>
        </w:tc>
        <w:tc>
          <w:tcPr>
            <w:tcW w:w="1449" w:type="dxa"/>
            <w:tcBorders>
              <w:top w:val="single" w:color="auto" w:sz="4" w:space="0"/>
              <w:left w:val="single" w:color="auto" w:sz="4" w:space="0"/>
              <w:bottom w:val="single" w:color="auto" w:sz="4" w:space="0"/>
              <w:right w:val="single" w:color="auto" w:sz="4" w:space="0"/>
            </w:tcBorders>
            <w:noWrap w:val="0"/>
            <w:vAlign w:val="center"/>
          </w:tcPr>
          <w:p w14:paraId="7836F52B">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商品混凝土</w:t>
            </w:r>
          </w:p>
        </w:tc>
        <w:tc>
          <w:tcPr>
            <w:tcW w:w="1251" w:type="dxa"/>
            <w:tcBorders>
              <w:top w:val="single" w:color="auto" w:sz="4" w:space="0"/>
              <w:left w:val="nil"/>
              <w:bottom w:val="single" w:color="auto" w:sz="4" w:space="0"/>
              <w:right w:val="single" w:color="auto" w:sz="4" w:space="0"/>
            </w:tcBorders>
            <w:noWrap w:val="0"/>
            <w:vAlign w:val="center"/>
          </w:tcPr>
          <w:p w14:paraId="114EA2DE">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C30</w:t>
            </w:r>
          </w:p>
        </w:tc>
        <w:tc>
          <w:tcPr>
            <w:tcW w:w="1068" w:type="dxa"/>
            <w:tcBorders>
              <w:top w:val="nil"/>
              <w:left w:val="nil"/>
              <w:bottom w:val="single" w:color="auto" w:sz="4" w:space="0"/>
              <w:right w:val="single" w:color="auto" w:sz="4" w:space="0"/>
            </w:tcBorders>
            <w:noWrap w:val="0"/>
            <w:vAlign w:val="center"/>
          </w:tcPr>
          <w:p w14:paraId="3100168C">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m³</w:t>
            </w:r>
          </w:p>
        </w:tc>
        <w:tc>
          <w:tcPr>
            <w:tcW w:w="1068" w:type="dxa"/>
            <w:tcBorders>
              <w:top w:val="nil"/>
              <w:left w:val="nil"/>
              <w:bottom w:val="single" w:color="auto" w:sz="4" w:space="0"/>
              <w:right w:val="single" w:color="auto" w:sz="4" w:space="0"/>
            </w:tcBorders>
            <w:noWrap w:val="0"/>
            <w:vAlign w:val="center"/>
          </w:tcPr>
          <w:p w14:paraId="10B206EB">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26692</w:t>
            </w:r>
          </w:p>
        </w:tc>
        <w:tc>
          <w:tcPr>
            <w:tcW w:w="1370" w:type="dxa"/>
            <w:tcBorders>
              <w:top w:val="nil"/>
              <w:left w:val="nil"/>
              <w:bottom w:val="single" w:color="auto" w:sz="4" w:space="0"/>
              <w:right w:val="single" w:color="auto" w:sz="4" w:space="0"/>
            </w:tcBorders>
            <w:noWrap w:val="0"/>
            <w:vAlign w:val="center"/>
          </w:tcPr>
          <w:p w14:paraId="0AE61CEB">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p>
        </w:tc>
        <w:tc>
          <w:tcPr>
            <w:tcW w:w="1581" w:type="dxa"/>
            <w:tcBorders>
              <w:top w:val="single" w:color="auto" w:sz="4" w:space="0"/>
              <w:left w:val="single" w:color="auto" w:sz="4" w:space="0"/>
              <w:bottom w:val="single" w:color="auto" w:sz="4" w:space="0"/>
              <w:right w:val="single" w:color="auto" w:sz="4" w:space="0"/>
            </w:tcBorders>
            <w:noWrap w:val="0"/>
            <w:vAlign w:val="center"/>
          </w:tcPr>
          <w:p w14:paraId="16FE2F2F">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zh-CN" w:eastAsia="zh-CN"/>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14:paraId="1D4AC7AA">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zh-CN" w:eastAsia="zh-CN"/>
              </w:rPr>
            </w:pPr>
          </w:p>
        </w:tc>
      </w:tr>
      <w:tr w14:paraId="1C7EB9CA">
        <w:tblPrEx>
          <w:tblCellMar>
            <w:top w:w="0" w:type="dxa"/>
            <w:left w:w="108" w:type="dxa"/>
            <w:bottom w:w="0" w:type="dxa"/>
            <w:right w:w="108" w:type="dxa"/>
          </w:tblCellMar>
        </w:tblPrEx>
        <w:trPr>
          <w:trHeight w:val="665" w:hRule="exact"/>
          <w:jc w:val="center"/>
        </w:trPr>
        <w:tc>
          <w:tcPr>
            <w:tcW w:w="560" w:type="dxa"/>
            <w:tcBorders>
              <w:top w:val="single" w:color="auto" w:sz="4" w:space="0"/>
              <w:left w:val="single" w:color="auto" w:sz="4" w:space="0"/>
              <w:bottom w:val="single" w:color="auto" w:sz="4" w:space="0"/>
              <w:right w:val="single" w:color="auto" w:sz="4" w:space="0"/>
            </w:tcBorders>
            <w:noWrap w:val="0"/>
            <w:vAlign w:val="center"/>
          </w:tcPr>
          <w:p w14:paraId="754F0745">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5</w:t>
            </w:r>
          </w:p>
        </w:tc>
        <w:tc>
          <w:tcPr>
            <w:tcW w:w="1449" w:type="dxa"/>
            <w:tcBorders>
              <w:top w:val="single" w:color="auto" w:sz="4" w:space="0"/>
              <w:left w:val="single" w:color="auto" w:sz="4" w:space="0"/>
              <w:bottom w:val="single" w:color="auto" w:sz="4" w:space="0"/>
              <w:right w:val="single" w:color="auto" w:sz="4" w:space="0"/>
            </w:tcBorders>
            <w:noWrap w:val="0"/>
            <w:vAlign w:val="center"/>
          </w:tcPr>
          <w:p w14:paraId="740D8EF2">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商品混凝土</w:t>
            </w:r>
          </w:p>
        </w:tc>
        <w:tc>
          <w:tcPr>
            <w:tcW w:w="1251" w:type="dxa"/>
            <w:tcBorders>
              <w:top w:val="single" w:color="auto" w:sz="4" w:space="0"/>
              <w:left w:val="nil"/>
              <w:bottom w:val="single" w:color="auto" w:sz="4" w:space="0"/>
              <w:right w:val="single" w:color="auto" w:sz="4" w:space="0"/>
            </w:tcBorders>
            <w:noWrap w:val="0"/>
            <w:vAlign w:val="center"/>
          </w:tcPr>
          <w:p w14:paraId="13624483">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C35</w:t>
            </w:r>
          </w:p>
        </w:tc>
        <w:tc>
          <w:tcPr>
            <w:tcW w:w="1068" w:type="dxa"/>
            <w:tcBorders>
              <w:top w:val="nil"/>
              <w:left w:val="nil"/>
              <w:bottom w:val="single" w:color="auto" w:sz="4" w:space="0"/>
              <w:right w:val="single" w:color="auto" w:sz="4" w:space="0"/>
            </w:tcBorders>
            <w:noWrap w:val="0"/>
            <w:vAlign w:val="center"/>
          </w:tcPr>
          <w:p w14:paraId="48186B83">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m³</w:t>
            </w:r>
          </w:p>
        </w:tc>
        <w:tc>
          <w:tcPr>
            <w:tcW w:w="1068" w:type="dxa"/>
            <w:tcBorders>
              <w:top w:val="nil"/>
              <w:left w:val="nil"/>
              <w:bottom w:val="single" w:color="auto" w:sz="4" w:space="0"/>
              <w:right w:val="single" w:color="auto" w:sz="4" w:space="0"/>
            </w:tcBorders>
            <w:noWrap w:val="0"/>
            <w:vAlign w:val="center"/>
          </w:tcPr>
          <w:p w14:paraId="63C8AE8B">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115</w:t>
            </w:r>
          </w:p>
        </w:tc>
        <w:tc>
          <w:tcPr>
            <w:tcW w:w="1370" w:type="dxa"/>
            <w:tcBorders>
              <w:top w:val="nil"/>
              <w:left w:val="nil"/>
              <w:bottom w:val="single" w:color="auto" w:sz="4" w:space="0"/>
              <w:right w:val="single" w:color="auto" w:sz="4" w:space="0"/>
            </w:tcBorders>
            <w:noWrap w:val="0"/>
            <w:vAlign w:val="center"/>
          </w:tcPr>
          <w:p w14:paraId="65BFB06F">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p>
        </w:tc>
        <w:tc>
          <w:tcPr>
            <w:tcW w:w="1581" w:type="dxa"/>
            <w:tcBorders>
              <w:top w:val="single" w:color="auto" w:sz="4" w:space="0"/>
              <w:left w:val="single" w:color="auto" w:sz="4" w:space="0"/>
              <w:bottom w:val="single" w:color="auto" w:sz="4" w:space="0"/>
              <w:right w:val="single" w:color="auto" w:sz="4" w:space="0"/>
            </w:tcBorders>
            <w:noWrap w:val="0"/>
            <w:vAlign w:val="center"/>
          </w:tcPr>
          <w:p w14:paraId="4935A666">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zh-CN" w:eastAsia="zh-CN"/>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14:paraId="79CEA147">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zh-CN" w:eastAsia="zh-CN"/>
              </w:rPr>
            </w:pPr>
          </w:p>
        </w:tc>
      </w:tr>
      <w:tr w14:paraId="12D3BCDF">
        <w:tblPrEx>
          <w:tblCellMar>
            <w:top w:w="0" w:type="dxa"/>
            <w:left w:w="108" w:type="dxa"/>
            <w:bottom w:w="0" w:type="dxa"/>
            <w:right w:w="108" w:type="dxa"/>
          </w:tblCellMar>
        </w:tblPrEx>
        <w:trPr>
          <w:trHeight w:val="665" w:hRule="exact"/>
          <w:jc w:val="center"/>
        </w:trPr>
        <w:tc>
          <w:tcPr>
            <w:tcW w:w="560" w:type="dxa"/>
            <w:tcBorders>
              <w:top w:val="single" w:color="auto" w:sz="4" w:space="0"/>
              <w:left w:val="single" w:color="auto" w:sz="4" w:space="0"/>
              <w:bottom w:val="single" w:color="auto" w:sz="4" w:space="0"/>
              <w:right w:val="single" w:color="auto" w:sz="4" w:space="0"/>
            </w:tcBorders>
            <w:noWrap w:val="0"/>
            <w:vAlign w:val="center"/>
          </w:tcPr>
          <w:p w14:paraId="0EE36535">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6</w:t>
            </w:r>
          </w:p>
        </w:tc>
        <w:tc>
          <w:tcPr>
            <w:tcW w:w="1449" w:type="dxa"/>
            <w:tcBorders>
              <w:top w:val="single" w:color="auto" w:sz="4" w:space="0"/>
              <w:left w:val="single" w:color="auto" w:sz="4" w:space="0"/>
              <w:bottom w:val="single" w:color="auto" w:sz="4" w:space="0"/>
              <w:right w:val="single" w:color="auto" w:sz="4" w:space="0"/>
            </w:tcBorders>
            <w:noWrap w:val="0"/>
            <w:vAlign w:val="center"/>
          </w:tcPr>
          <w:p w14:paraId="2E61B543">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商品混凝土</w:t>
            </w:r>
          </w:p>
        </w:tc>
        <w:tc>
          <w:tcPr>
            <w:tcW w:w="1251" w:type="dxa"/>
            <w:tcBorders>
              <w:top w:val="single" w:color="auto" w:sz="4" w:space="0"/>
              <w:left w:val="nil"/>
              <w:bottom w:val="single" w:color="auto" w:sz="4" w:space="0"/>
              <w:right w:val="single" w:color="auto" w:sz="4" w:space="0"/>
            </w:tcBorders>
            <w:noWrap w:val="0"/>
            <w:vAlign w:val="center"/>
          </w:tcPr>
          <w:p w14:paraId="466FAA29">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C40</w:t>
            </w:r>
          </w:p>
        </w:tc>
        <w:tc>
          <w:tcPr>
            <w:tcW w:w="1068" w:type="dxa"/>
            <w:tcBorders>
              <w:top w:val="nil"/>
              <w:left w:val="nil"/>
              <w:bottom w:val="single" w:color="auto" w:sz="4" w:space="0"/>
              <w:right w:val="single" w:color="auto" w:sz="4" w:space="0"/>
            </w:tcBorders>
            <w:noWrap w:val="0"/>
            <w:vAlign w:val="center"/>
          </w:tcPr>
          <w:p w14:paraId="2FF8CD76">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m³</w:t>
            </w:r>
          </w:p>
        </w:tc>
        <w:tc>
          <w:tcPr>
            <w:tcW w:w="1068" w:type="dxa"/>
            <w:tcBorders>
              <w:top w:val="nil"/>
              <w:left w:val="nil"/>
              <w:bottom w:val="single" w:color="auto" w:sz="4" w:space="0"/>
              <w:right w:val="single" w:color="auto" w:sz="4" w:space="0"/>
            </w:tcBorders>
            <w:noWrap w:val="0"/>
            <w:vAlign w:val="center"/>
          </w:tcPr>
          <w:p w14:paraId="0DA65506">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102</w:t>
            </w:r>
          </w:p>
        </w:tc>
        <w:tc>
          <w:tcPr>
            <w:tcW w:w="1370" w:type="dxa"/>
            <w:tcBorders>
              <w:top w:val="nil"/>
              <w:left w:val="nil"/>
              <w:bottom w:val="single" w:color="auto" w:sz="4" w:space="0"/>
              <w:right w:val="single" w:color="auto" w:sz="4" w:space="0"/>
            </w:tcBorders>
            <w:noWrap w:val="0"/>
            <w:vAlign w:val="center"/>
          </w:tcPr>
          <w:p w14:paraId="6DDD2FDE">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p>
        </w:tc>
        <w:tc>
          <w:tcPr>
            <w:tcW w:w="1581" w:type="dxa"/>
            <w:tcBorders>
              <w:top w:val="single" w:color="auto" w:sz="4" w:space="0"/>
              <w:left w:val="single" w:color="auto" w:sz="4" w:space="0"/>
              <w:bottom w:val="single" w:color="auto" w:sz="4" w:space="0"/>
              <w:right w:val="single" w:color="auto" w:sz="4" w:space="0"/>
            </w:tcBorders>
            <w:noWrap w:val="0"/>
            <w:vAlign w:val="center"/>
          </w:tcPr>
          <w:p w14:paraId="1FAE19F6">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zh-CN" w:eastAsia="zh-CN"/>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14:paraId="45C4F8A0">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zh-CN" w:eastAsia="zh-CN"/>
              </w:rPr>
            </w:pPr>
          </w:p>
        </w:tc>
      </w:tr>
      <w:tr w14:paraId="1583DF52">
        <w:tblPrEx>
          <w:tblCellMar>
            <w:top w:w="0" w:type="dxa"/>
            <w:left w:w="108" w:type="dxa"/>
            <w:bottom w:w="0" w:type="dxa"/>
            <w:right w:w="108" w:type="dxa"/>
          </w:tblCellMar>
        </w:tblPrEx>
        <w:trPr>
          <w:trHeight w:val="665" w:hRule="exact"/>
          <w:jc w:val="center"/>
        </w:trPr>
        <w:tc>
          <w:tcPr>
            <w:tcW w:w="560" w:type="dxa"/>
            <w:tcBorders>
              <w:top w:val="single" w:color="auto" w:sz="4" w:space="0"/>
              <w:left w:val="single" w:color="auto" w:sz="4" w:space="0"/>
              <w:bottom w:val="single" w:color="auto" w:sz="4" w:space="0"/>
              <w:right w:val="single" w:color="auto" w:sz="4" w:space="0"/>
            </w:tcBorders>
            <w:noWrap w:val="0"/>
            <w:vAlign w:val="center"/>
          </w:tcPr>
          <w:p w14:paraId="2ACF1D05">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7</w:t>
            </w:r>
          </w:p>
        </w:tc>
        <w:tc>
          <w:tcPr>
            <w:tcW w:w="1449" w:type="dxa"/>
            <w:tcBorders>
              <w:top w:val="single" w:color="auto" w:sz="4" w:space="0"/>
              <w:left w:val="single" w:color="auto" w:sz="4" w:space="0"/>
              <w:bottom w:val="single" w:color="auto" w:sz="4" w:space="0"/>
              <w:right w:val="single" w:color="auto" w:sz="4" w:space="0"/>
            </w:tcBorders>
            <w:noWrap w:val="0"/>
            <w:vAlign w:val="center"/>
          </w:tcPr>
          <w:p w14:paraId="0BB3919A">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商品混凝土</w:t>
            </w:r>
          </w:p>
        </w:tc>
        <w:tc>
          <w:tcPr>
            <w:tcW w:w="1251" w:type="dxa"/>
            <w:tcBorders>
              <w:top w:val="single" w:color="auto" w:sz="4" w:space="0"/>
              <w:left w:val="nil"/>
              <w:bottom w:val="single" w:color="auto" w:sz="4" w:space="0"/>
              <w:right w:val="single" w:color="auto" w:sz="4" w:space="0"/>
            </w:tcBorders>
            <w:noWrap w:val="0"/>
            <w:vAlign w:val="center"/>
          </w:tcPr>
          <w:p w14:paraId="3B635A0D">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C50</w:t>
            </w:r>
          </w:p>
        </w:tc>
        <w:tc>
          <w:tcPr>
            <w:tcW w:w="1068" w:type="dxa"/>
            <w:tcBorders>
              <w:top w:val="nil"/>
              <w:left w:val="nil"/>
              <w:bottom w:val="single" w:color="auto" w:sz="4" w:space="0"/>
              <w:right w:val="single" w:color="auto" w:sz="4" w:space="0"/>
            </w:tcBorders>
            <w:noWrap w:val="0"/>
            <w:vAlign w:val="center"/>
          </w:tcPr>
          <w:p w14:paraId="3D743EB5">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m³</w:t>
            </w:r>
          </w:p>
        </w:tc>
        <w:tc>
          <w:tcPr>
            <w:tcW w:w="1068" w:type="dxa"/>
            <w:tcBorders>
              <w:top w:val="nil"/>
              <w:left w:val="nil"/>
              <w:bottom w:val="single" w:color="auto" w:sz="4" w:space="0"/>
              <w:right w:val="single" w:color="auto" w:sz="4" w:space="0"/>
            </w:tcBorders>
            <w:noWrap w:val="0"/>
            <w:vAlign w:val="center"/>
          </w:tcPr>
          <w:p w14:paraId="601C1D55">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325</w:t>
            </w:r>
          </w:p>
        </w:tc>
        <w:tc>
          <w:tcPr>
            <w:tcW w:w="1370" w:type="dxa"/>
            <w:tcBorders>
              <w:top w:val="nil"/>
              <w:left w:val="nil"/>
              <w:bottom w:val="single" w:color="auto" w:sz="4" w:space="0"/>
              <w:right w:val="single" w:color="auto" w:sz="4" w:space="0"/>
            </w:tcBorders>
            <w:noWrap w:val="0"/>
            <w:vAlign w:val="center"/>
          </w:tcPr>
          <w:p w14:paraId="74435D19">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p>
        </w:tc>
        <w:tc>
          <w:tcPr>
            <w:tcW w:w="1581" w:type="dxa"/>
            <w:tcBorders>
              <w:top w:val="single" w:color="auto" w:sz="4" w:space="0"/>
              <w:left w:val="single" w:color="auto" w:sz="4" w:space="0"/>
              <w:bottom w:val="single" w:color="auto" w:sz="4" w:space="0"/>
              <w:right w:val="single" w:color="auto" w:sz="4" w:space="0"/>
            </w:tcBorders>
            <w:noWrap w:val="0"/>
            <w:vAlign w:val="center"/>
          </w:tcPr>
          <w:p w14:paraId="223E8119">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zh-CN" w:eastAsia="zh-CN"/>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14:paraId="72D1C2A9">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zh-CN" w:eastAsia="zh-CN"/>
              </w:rPr>
            </w:pPr>
          </w:p>
        </w:tc>
      </w:tr>
      <w:tr w14:paraId="459E6AD1">
        <w:tblPrEx>
          <w:tblCellMar>
            <w:top w:w="0" w:type="dxa"/>
            <w:left w:w="108" w:type="dxa"/>
            <w:bottom w:w="0" w:type="dxa"/>
            <w:right w:w="108" w:type="dxa"/>
          </w:tblCellMar>
        </w:tblPrEx>
        <w:trPr>
          <w:trHeight w:val="665" w:hRule="exact"/>
          <w:jc w:val="center"/>
        </w:trPr>
        <w:tc>
          <w:tcPr>
            <w:tcW w:w="6766" w:type="dxa"/>
            <w:gridSpan w:val="6"/>
            <w:tcBorders>
              <w:top w:val="single" w:color="auto" w:sz="4" w:space="0"/>
              <w:left w:val="single" w:color="auto" w:sz="4" w:space="0"/>
              <w:bottom w:val="single" w:color="auto" w:sz="4" w:space="0"/>
              <w:right w:val="single" w:color="auto" w:sz="4" w:space="0"/>
            </w:tcBorders>
            <w:noWrap w:val="0"/>
            <w:vAlign w:val="center"/>
          </w:tcPr>
          <w:p w14:paraId="5D03A8BF">
            <w:pPr>
              <w:keepNext w:val="0"/>
              <w:keepLines w:val="0"/>
              <w:framePr w:wrap="auto" w:vAnchor="margin" w:hAnchor="text" w:yAlign="inline"/>
              <w:widowControl/>
              <w:suppressLineNumbers w:val="0"/>
              <w:jc w:val="center"/>
              <w:textAlignment w:val="center"/>
              <w:rPr>
                <w:rFonts w:hint="default" w:ascii="仿宋" w:hAnsi="仿宋" w:eastAsia="仿宋" w:cs="仿宋"/>
                <w:b/>
                <w:bCs w:val="0"/>
                <w:color w:val="auto"/>
                <w:kern w:val="0"/>
                <w:sz w:val="24"/>
                <w:szCs w:val="24"/>
                <w:highlight w:val="none"/>
                <w:shd w:val="clear" w:color="auto" w:fill="auto"/>
                <w:lang w:val="en-US" w:eastAsia="zh-CN"/>
              </w:rPr>
            </w:pPr>
            <w:r>
              <w:rPr>
                <w:rFonts w:hint="eastAsia" w:ascii="仿宋" w:hAnsi="仿宋" w:eastAsia="仿宋" w:cs="仿宋"/>
                <w:b/>
                <w:i w:val="0"/>
                <w:color w:val="auto"/>
                <w:kern w:val="0"/>
                <w:sz w:val="22"/>
                <w:szCs w:val="22"/>
                <w:highlight w:val="none"/>
                <w:u w:val="none"/>
                <w:lang w:val="en-US" w:eastAsia="zh-CN" w:bidi="ar"/>
              </w:rPr>
              <w:t>不含税金额总价</w:t>
            </w:r>
          </w:p>
        </w:tc>
        <w:tc>
          <w:tcPr>
            <w:tcW w:w="1581" w:type="dxa"/>
            <w:tcBorders>
              <w:top w:val="single" w:color="auto" w:sz="4" w:space="0"/>
              <w:left w:val="single" w:color="auto" w:sz="4" w:space="0"/>
              <w:bottom w:val="single" w:color="auto" w:sz="4" w:space="0"/>
              <w:right w:val="single" w:color="auto" w:sz="4" w:space="0"/>
            </w:tcBorders>
            <w:noWrap w:val="0"/>
            <w:vAlign w:val="center"/>
          </w:tcPr>
          <w:p w14:paraId="79D3FFB1">
            <w:pPr>
              <w:keepNext w:val="0"/>
              <w:keepLines w:val="0"/>
              <w:framePr w:wrap="auto" w:vAnchor="margin" w:hAnchor="text" w:yAlign="inline"/>
              <w:widowControl/>
              <w:suppressLineNumbers w:val="0"/>
              <w:jc w:val="center"/>
              <w:textAlignment w:val="center"/>
              <w:rPr>
                <w:rFonts w:hint="eastAsia" w:ascii="仿宋" w:hAnsi="仿宋" w:eastAsia="仿宋" w:cs="仿宋"/>
                <w:b/>
                <w:bCs w:val="0"/>
                <w:color w:val="auto"/>
                <w:kern w:val="0"/>
                <w:sz w:val="24"/>
                <w:szCs w:val="24"/>
                <w:highlight w:val="none"/>
                <w:shd w:val="clear" w:color="auto" w:fill="auto"/>
                <w:lang w:val="en-US" w:eastAsia="zh-CN" w:bidi="ar-SA"/>
              </w:rPr>
            </w:pPr>
          </w:p>
        </w:tc>
        <w:tc>
          <w:tcPr>
            <w:tcW w:w="1068" w:type="dxa"/>
            <w:tcBorders>
              <w:top w:val="single" w:color="auto" w:sz="4" w:space="0"/>
              <w:left w:val="single" w:color="auto" w:sz="4" w:space="0"/>
              <w:bottom w:val="single" w:color="auto" w:sz="4" w:space="0"/>
              <w:right w:val="single" w:color="auto" w:sz="4" w:space="0"/>
            </w:tcBorders>
            <w:noWrap w:val="0"/>
            <w:vAlign w:val="center"/>
          </w:tcPr>
          <w:p w14:paraId="461D01CE">
            <w:pPr>
              <w:framePr w:wrap="auto" w:vAnchor="margin" w:hAnchor="text" w:yAlign="inline"/>
              <w:widowControl w:val="0"/>
              <w:jc w:val="center"/>
              <w:rPr>
                <w:rFonts w:hint="eastAsia" w:ascii="仿宋" w:hAnsi="仿宋" w:eastAsia="仿宋" w:cs="仿宋"/>
                <w:color w:val="auto"/>
                <w:kern w:val="2"/>
                <w:sz w:val="24"/>
                <w:szCs w:val="24"/>
                <w:highlight w:val="none"/>
                <w:shd w:val="clear" w:color="auto" w:fill="auto"/>
                <w:lang w:val="zh-CN" w:eastAsia="zh-CN"/>
              </w:rPr>
            </w:pPr>
          </w:p>
        </w:tc>
      </w:tr>
      <w:tr w14:paraId="3B6EE00A">
        <w:tblPrEx>
          <w:tblCellMar>
            <w:top w:w="0" w:type="dxa"/>
            <w:left w:w="108" w:type="dxa"/>
            <w:bottom w:w="0" w:type="dxa"/>
            <w:right w:w="108" w:type="dxa"/>
          </w:tblCellMar>
        </w:tblPrEx>
        <w:trPr>
          <w:trHeight w:val="665" w:hRule="exact"/>
          <w:jc w:val="center"/>
        </w:trPr>
        <w:tc>
          <w:tcPr>
            <w:tcW w:w="6766" w:type="dxa"/>
            <w:gridSpan w:val="6"/>
            <w:tcBorders>
              <w:top w:val="nil"/>
              <w:left w:val="single" w:color="auto" w:sz="4" w:space="0"/>
              <w:bottom w:val="single" w:color="auto" w:sz="4" w:space="0"/>
              <w:right w:val="single" w:color="auto" w:sz="4" w:space="0"/>
            </w:tcBorders>
            <w:noWrap w:val="0"/>
            <w:vAlign w:val="center"/>
          </w:tcPr>
          <w:p w14:paraId="4E78F068">
            <w:pPr>
              <w:keepNext w:val="0"/>
              <w:keepLines w:val="0"/>
              <w:framePr w:wrap="auto" w:vAnchor="margin" w:hAnchor="text" w:yAlign="inline"/>
              <w:widowControl/>
              <w:suppressLineNumbers w:val="0"/>
              <w:jc w:val="center"/>
              <w:textAlignment w:val="center"/>
              <w:rPr>
                <w:rFonts w:hint="eastAsia" w:ascii="仿宋" w:hAnsi="仿宋" w:eastAsia="仿宋" w:cs="仿宋"/>
                <w:b/>
                <w:bCs w:val="0"/>
                <w:color w:val="auto"/>
                <w:kern w:val="0"/>
                <w:sz w:val="24"/>
                <w:szCs w:val="24"/>
                <w:highlight w:val="none"/>
                <w:shd w:val="clear" w:color="auto" w:fill="auto"/>
                <w:lang w:val="en-US" w:eastAsia="zh-CN"/>
              </w:rPr>
            </w:pPr>
            <w:r>
              <w:rPr>
                <w:rFonts w:hint="eastAsia" w:ascii="仿宋" w:hAnsi="仿宋" w:eastAsia="仿宋" w:cs="仿宋"/>
                <w:b/>
                <w:i w:val="0"/>
                <w:color w:val="auto"/>
                <w:kern w:val="0"/>
                <w:sz w:val="22"/>
                <w:szCs w:val="22"/>
                <w:highlight w:val="none"/>
                <w:u w:val="none"/>
                <w:lang w:val="en-US" w:eastAsia="zh-CN" w:bidi="ar"/>
              </w:rPr>
              <w:t>增值税（</w:t>
            </w:r>
            <w:r>
              <w:rPr>
                <w:rFonts w:hint="eastAsia" w:ascii="仿宋" w:hAnsi="仿宋" w:eastAsia="仿宋" w:cs="仿宋"/>
                <w:b/>
                <w:i w:val="0"/>
                <w:color w:val="auto"/>
                <w:kern w:val="0"/>
                <w:sz w:val="24"/>
                <w:szCs w:val="24"/>
                <w:highlight w:val="none"/>
                <w:u w:val="none"/>
                <w:lang w:val="en-US" w:eastAsia="zh-CN" w:bidi="ar"/>
              </w:rPr>
              <w:t xml:space="preserve">   %）</w:t>
            </w:r>
          </w:p>
        </w:tc>
        <w:tc>
          <w:tcPr>
            <w:tcW w:w="1581" w:type="dxa"/>
            <w:tcBorders>
              <w:top w:val="nil"/>
              <w:left w:val="single" w:color="auto" w:sz="4" w:space="0"/>
              <w:bottom w:val="single" w:color="auto" w:sz="4" w:space="0"/>
              <w:right w:val="single" w:color="auto" w:sz="4" w:space="0"/>
            </w:tcBorders>
            <w:noWrap w:val="0"/>
            <w:vAlign w:val="center"/>
          </w:tcPr>
          <w:p w14:paraId="400A8F90">
            <w:pPr>
              <w:keepNext w:val="0"/>
              <w:keepLines w:val="0"/>
              <w:framePr w:wrap="auto" w:vAnchor="margin" w:hAnchor="text" w:yAlign="inline"/>
              <w:widowControl/>
              <w:suppressLineNumbers w:val="0"/>
              <w:jc w:val="center"/>
              <w:textAlignment w:val="center"/>
              <w:rPr>
                <w:rFonts w:hint="eastAsia" w:ascii="仿宋" w:hAnsi="仿宋" w:eastAsia="仿宋" w:cs="仿宋"/>
                <w:b/>
                <w:bCs w:val="0"/>
                <w:color w:val="auto"/>
                <w:kern w:val="0"/>
                <w:sz w:val="24"/>
                <w:szCs w:val="24"/>
                <w:highlight w:val="none"/>
                <w:shd w:val="clear" w:color="auto" w:fill="auto"/>
                <w:lang w:val="en-US" w:eastAsia="zh-CN" w:bidi="ar-SA"/>
              </w:rPr>
            </w:pPr>
          </w:p>
        </w:tc>
        <w:tc>
          <w:tcPr>
            <w:tcW w:w="1068" w:type="dxa"/>
            <w:tcBorders>
              <w:top w:val="single" w:color="auto" w:sz="4" w:space="0"/>
              <w:left w:val="nil"/>
              <w:bottom w:val="single" w:color="auto" w:sz="4" w:space="0"/>
              <w:right w:val="single" w:color="auto" w:sz="4" w:space="0"/>
            </w:tcBorders>
            <w:noWrap w:val="0"/>
            <w:vAlign w:val="center"/>
          </w:tcPr>
          <w:p w14:paraId="12BB4812">
            <w:pPr>
              <w:framePr w:wrap="auto" w:vAnchor="margin" w:hAnchor="text" w:yAlign="inline"/>
              <w:widowControl w:val="0"/>
              <w:jc w:val="center"/>
              <w:rPr>
                <w:rFonts w:hint="eastAsia" w:ascii="仿宋" w:hAnsi="仿宋" w:eastAsia="仿宋" w:cs="仿宋"/>
                <w:color w:val="auto"/>
                <w:kern w:val="2"/>
                <w:sz w:val="24"/>
                <w:szCs w:val="24"/>
                <w:highlight w:val="none"/>
                <w:shd w:val="clear" w:color="auto" w:fill="auto"/>
                <w:lang w:val="en-US" w:eastAsia="zh-CN"/>
              </w:rPr>
            </w:pPr>
          </w:p>
        </w:tc>
      </w:tr>
      <w:tr w14:paraId="302A650D">
        <w:tblPrEx>
          <w:tblCellMar>
            <w:top w:w="0" w:type="dxa"/>
            <w:left w:w="108" w:type="dxa"/>
            <w:bottom w:w="0" w:type="dxa"/>
            <w:right w:w="108" w:type="dxa"/>
          </w:tblCellMar>
        </w:tblPrEx>
        <w:trPr>
          <w:trHeight w:val="716" w:hRule="exact"/>
          <w:jc w:val="center"/>
        </w:trPr>
        <w:tc>
          <w:tcPr>
            <w:tcW w:w="6766" w:type="dxa"/>
            <w:gridSpan w:val="6"/>
            <w:tcBorders>
              <w:top w:val="nil"/>
              <w:left w:val="single" w:color="auto" w:sz="4" w:space="0"/>
              <w:bottom w:val="single" w:color="auto" w:sz="4" w:space="0"/>
              <w:right w:val="single" w:color="auto" w:sz="4" w:space="0"/>
            </w:tcBorders>
            <w:noWrap w:val="0"/>
            <w:vAlign w:val="center"/>
          </w:tcPr>
          <w:p w14:paraId="7EF2E47B">
            <w:pPr>
              <w:keepNext w:val="0"/>
              <w:keepLines w:val="0"/>
              <w:framePr w:wrap="auto" w:vAnchor="margin" w:hAnchor="text" w:yAlign="inline"/>
              <w:widowControl/>
              <w:suppressLineNumbers w:val="0"/>
              <w:jc w:val="center"/>
              <w:textAlignment w:val="center"/>
              <w:rPr>
                <w:rFonts w:hint="eastAsia" w:ascii="仿宋" w:hAnsi="仿宋" w:eastAsia="仿宋" w:cs="仿宋"/>
                <w:b/>
                <w:bCs w:val="0"/>
                <w:color w:val="auto"/>
                <w:kern w:val="0"/>
                <w:sz w:val="24"/>
                <w:szCs w:val="24"/>
                <w:highlight w:val="none"/>
                <w:shd w:val="clear" w:color="auto" w:fill="auto"/>
                <w:lang w:val="en-US" w:eastAsia="zh-CN"/>
              </w:rPr>
            </w:pPr>
            <w:r>
              <w:rPr>
                <w:rFonts w:hint="eastAsia" w:ascii="仿宋" w:hAnsi="仿宋" w:eastAsia="仿宋" w:cs="仿宋"/>
                <w:b/>
                <w:i w:val="0"/>
                <w:color w:val="auto"/>
                <w:kern w:val="0"/>
                <w:sz w:val="22"/>
                <w:szCs w:val="22"/>
                <w:highlight w:val="none"/>
                <w:u w:val="none"/>
                <w:lang w:val="en-US" w:eastAsia="zh-CN" w:bidi="ar"/>
              </w:rPr>
              <w:t>含税</w:t>
            </w:r>
            <w:r>
              <w:rPr>
                <w:rFonts w:hint="eastAsia" w:ascii="仿宋" w:hAnsi="仿宋" w:eastAsia="仿宋" w:cs="仿宋"/>
                <w:b/>
                <w:i w:val="0"/>
                <w:color w:val="auto"/>
                <w:kern w:val="0"/>
                <w:sz w:val="24"/>
                <w:szCs w:val="24"/>
                <w:highlight w:val="none"/>
                <w:u w:val="none"/>
                <w:lang w:val="en-US" w:eastAsia="zh-CN" w:bidi="ar"/>
              </w:rPr>
              <w:t>金额总价</w:t>
            </w:r>
          </w:p>
        </w:tc>
        <w:tc>
          <w:tcPr>
            <w:tcW w:w="1581" w:type="dxa"/>
            <w:tcBorders>
              <w:top w:val="nil"/>
              <w:left w:val="single" w:color="auto" w:sz="4" w:space="0"/>
              <w:bottom w:val="single" w:color="auto" w:sz="4" w:space="0"/>
              <w:right w:val="single" w:color="auto" w:sz="4" w:space="0"/>
            </w:tcBorders>
            <w:noWrap w:val="0"/>
            <w:vAlign w:val="center"/>
          </w:tcPr>
          <w:p w14:paraId="2464B359">
            <w:pPr>
              <w:keepNext w:val="0"/>
              <w:keepLines w:val="0"/>
              <w:framePr w:wrap="auto" w:vAnchor="margin" w:hAnchor="text" w:yAlign="inline"/>
              <w:widowControl/>
              <w:suppressLineNumbers w:val="0"/>
              <w:jc w:val="center"/>
              <w:textAlignment w:val="center"/>
              <w:rPr>
                <w:rFonts w:hint="eastAsia" w:ascii="仿宋" w:hAnsi="仿宋" w:eastAsia="仿宋" w:cs="仿宋"/>
                <w:b/>
                <w:bCs w:val="0"/>
                <w:color w:val="auto"/>
                <w:kern w:val="0"/>
                <w:sz w:val="24"/>
                <w:szCs w:val="24"/>
                <w:highlight w:val="none"/>
                <w:shd w:val="clear" w:color="auto" w:fill="auto"/>
                <w:lang w:val="en-US" w:eastAsia="zh-CN" w:bidi="ar-SA"/>
              </w:rPr>
            </w:pPr>
          </w:p>
        </w:tc>
        <w:tc>
          <w:tcPr>
            <w:tcW w:w="1068" w:type="dxa"/>
            <w:tcBorders>
              <w:top w:val="single" w:color="auto" w:sz="4" w:space="0"/>
              <w:left w:val="nil"/>
              <w:bottom w:val="single" w:color="auto" w:sz="4" w:space="0"/>
              <w:right w:val="single" w:color="auto" w:sz="4" w:space="0"/>
            </w:tcBorders>
            <w:noWrap w:val="0"/>
            <w:vAlign w:val="center"/>
          </w:tcPr>
          <w:p w14:paraId="0190E691">
            <w:pPr>
              <w:framePr w:wrap="auto" w:vAnchor="margin" w:hAnchor="text" w:yAlign="inline"/>
              <w:widowControl w:val="0"/>
              <w:jc w:val="both"/>
              <w:rPr>
                <w:rFonts w:hint="eastAsia" w:ascii="仿宋" w:hAnsi="仿宋" w:eastAsia="仿宋" w:cs="仿宋"/>
                <w:color w:val="auto"/>
                <w:kern w:val="2"/>
                <w:sz w:val="24"/>
                <w:szCs w:val="24"/>
                <w:highlight w:val="none"/>
                <w:shd w:val="clear" w:color="auto" w:fill="auto"/>
                <w:lang w:val="en-US" w:eastAsia="zh-CN"/>
              </w:rPr>
            </w:pPr>
          </w:p>
        </w:tc>
      </w:tr>
    </w:tbl>
    <w:p w14:paraId="08EFFAE8">
      <w:pPr>
        <w:framePr w:wrap="auto" w:vAnchor="margin" w:hAnchor="text" w:yAlign="inline"/>
        <w:rPr>
          <w:rFonts w:hint="eastAsia" w:ascii="宋体" w:hAnsi="宋体" w:eastAsia="宋体" w:cs="宋体"/>
          <w:color w:val="auto"/>
          <w:sz w:val="20"/>
          <w:szCs w:val="20"/>
          <w:highlight w:val="none"/>
          <w:lang w:eastAsia="zh-CN"/>
        </w:rPr>
      </w:pPr>
    </w:p>
    <w:p w14:paraId="62768A43">
      <w:pPr>
        <w:framePr w:wrap="auto" w:vAnchor="margin" w:hAnchor="text" w:yAlign="inline"/>
        <w:rPr>
          <w:rFonts w:hint="eastAsia" w:ascii="宋体" w:hAnsi="宋体" w:eastAsia="宋体" w:cs="宋体"/>
          <w:color w:val="auto"/>
          <w:sz w:val="20"/>
          <w:szCs w:val="20"/>
          <w:highlight w:val="none"/>
          <w:lang w:eastAsia="zh-CN"/>
        </w:rPr>
      </w:pPr>
    </w:p>
    <w:p w14:paraId="56100705">
      <w:pPr>
        <w:keepNext w:val="0"/>
        <w:keepLines w:val="0"/>
        <w:framePr w:wrap="auto" w:vAnchor="margin" w:hAnchor="text" w:yAlign="inline"/>
        <w:widowControl/>
        <w:suppressLineNumbers w:val="0"/>
        <w:jc w:val="center"/>
        <w:textAlignment w:val="center"/>
        <w:rPr>
          <w:rFonts w:hint="default" w:ascii="仿宋" w:hAnsi="仿宋" w:eastAsia="仿宋" w:cs="仿宋"/>
          <w:b/>
          <w:bCs/>
          <w:i w:val="0"/>
          <w:color w:val="auto"/>
          <w:kern w:val="0"/>
          <w:sz w:val="32"/>
          <w:szCs w:val="32"/>
          <w:highlight w:val="none"/>
          <w:u w:val="none"/>
          <w:lang w:val="en-US" w:eastAsia="zh-CN" w:bidi="ar"/>
        </w:rPr>
      </w:pPr>
      <w:r>
        <w:rPr>
          <w:rFonts w:hint="eastAsia" w:ascii="仿宋" w:hAnsi="仿宋" w:eastAsia="仿宋" w:cs="仿宋"/>
          <w:b/>
          <w:bCs/>
          <w:i w:val="0"/>
          <w:color w:val="auto"/>
          <w:kern w:val="0"/>
          <w:sz w:val="24"/>
          <w:szCs w:val="24"/>
          <w:highlight w:val="none"/>
          <w:u w:val="none"/>
          <w:lang w:val="en-US" w:eastAsia="zh-CN" w:bidi="ar"/>
        </w:rPr>
        <w:t xml:space="preserve">       </w:t>
      </w:r>
      <w:r>
        <w:rPr>
          <w:rFonts w:hint="eastAsia" w:ascii="仿宋" w:hAnsi="仿宋" w:eastAsia="仿宋" w:cs="仿宋"/>
          <w:b/>
          <w:bCs/>
          <w:i w:val="0"/>
          <w:color w:val="auto"/>
          <w:kern w:val="0"/>
          <w:sz w:val="32"/>
          <w:szCs w:val="32"/>
          <w:highlight w:val="none"/>
          <w:u w:val="none"/>
          <w:lang w:val="en-US" w:eastAsia="zh-CN" w:bidi="ar"/>
        </w:rPr>
        <w:t xml:space="preserve">          单位名称：         </w:t>
      </w:r>
      <w:r>
        <w:rPr>
          <w:rFonts w:hint="eastAsia" w:ascii="仿宋" w:hAnsi="仿宋" w:eastAsia="仿宋" w:cs="仿宋"/>
          <w:b/>
          <w:bCs/>
          <w:i w:val="0"/>
          <w:color w:val="auto"/>
          <w:kern w:val="0"/>
          <w:sz w:val="32"/>
          <w:szCs w:val="32"/>
          <w:highlight w:val="none"/>
          <w:u w:val="none"/>
          <w:lang w:val="en-US" w:eastAsia="zh-CN" w:bidi="ar"/>
        </w:rPr>
        <w:br w:type="textWrapping"/>
      </w:r>
      <w:r>
        <w:rPr>
          <w:rFonts w:hint="eastAsia" w:ascii="仿宋" w:hAnsi="仿宋" w:eastAsia="仿宋" w:cs="仿宋"/>
          <w:b/>
          <w:bCs/>
          <w:i w:val="0"/>
          <w:color w:val="auto"/>
          <w:kern w:val="0"/>
          <w:sz w:val="32"/>
          <w:szCs w:val="32"/>
          <w:highlight w:val="none"/>
          <w:u w:val="none"/>
          <w:lang w:val="en-US" w:eastAsia="zh-CN" w:bidi="ar"/>
        </w:rPr>
        <w:t xml:space="preserve">                联系方式：      </w:t>
      </w:r>
      <w:r>
        <w:rPr>
          <w:rFonts w:hint="eastAsia" w:ascii="仿宋" w:hAnsi="仿宋" w:eastAsia="仿宋" w:cs="仿宋"/>
          <w:b/>
          <w:bCs/>
          <w:i w:val="0"/>
          <w:color w:val="auto"/>
          <w:kern w:val="0"/>
          <w:sz w:val="32"/>
          <w:szCs w:val="32"/>
          <w:highlight w:val="none"/>
          <w:u w:val="none"/>
          <w:lang w:val="en-US" w:eastAsia="zh-CN" w:bidi="ar"/>
        </w:rPr>
        <w:br w:type="textWrapping"/>
      </w:r>
      <w:r>
        <w:rPr>
          <w:rFonts w:hint="eastAsia" w:ascii="仿宋" w:hAnsi="仿宋" w:eastAsia="仿宋" w:cs="仿宋"/>
          <w:b/>
          <w:bCs/>
          <w:i w:val="0"/>
          <w:color w:val="auto"/>
          <w:kern w:val="0"/>
          <w:sz w:val="32"/>
          <w:szCs w:val="32"/>
          <w:highlight w:val="none"/>
          <w:u w:val="none"/>
          <w:lang w:val="en-US" w:eastAsia="zh-CN" w:bidi="ar"/>
        </w:rPr>
        <w:t xml:space="preserve">                日    期：       </w:t>
      </w:r>
    </w:p>
    <w:p w14:paraId="634834B4">
      <w:pPr>
        <w:framePr w:wrap="auto" w:vAnchor="margin" w:hAnchor="text" w:yAlign="inline"/>
        <w:rPr>
          <w:rFonts w:hint="eastAsia" w:ascii="宋体" w:hAnsi="宋体" w:eastAsia="宋体" w:cs="宋体"/>
          <w:color w:val="auto"/>
          <w:sz w:val="20"/>
          <w:szCs w:val="20"/>
          <w:highlight w:val="none"/>
          <w:lang w:eastAsia="zh-CN"/>
        </w:rPr>
      </w:pPr>
    </w:p>
    <w:p w14:paraId="35C26EA9">
      <w:pPr>
        <w:framePr w:wrap="auto" w:vAnchor="margin" w:hAnchor="text" w:yAlign="inline"/>
        <w:rPr>
          <w:rFonts w:hint="eastAsia"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lang w:eastAsia="zh-CN"/>
        </w:rPr>
        <w:br w:type="page"/>
      </w:r>
    </w:p>
    <w:p w14:paraId="40D62C43">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7" w:name="_Toc18423"/>
      <w:bookmarkStart w:id="18" w:name="_Toc6698"/>
      <w:r>
        <w:rPr>
          <w:rFonts w:hint="eastAsia" w:ascii="宋体" w:hAnsi="宋体" w:eastAsia="宋体" w:cs="宋体"/>
          <w:b/>
          <w:bCs/>
          <w:color w:val="auto"/>
          <w:sz w:val="32"/>
          <w:szCs w:val="32"/>
          <w:highlight w:val="none"/>
          <w:lang w:val="en-US" w:eastAsia="zh-CN"/>
        </w:rPr>
        <w:t>第四部分  评选办法</w:t>
      </w:r>
      <w:bookmarkEnd w:id="17"/>
      <w:bookmarkEnd w:id="18"/>
    </w:p>
    <w:p w14:paraId="4E3EE267">
      <w:pPr>
        <w:framePr w:wrap="auto" w:vAnchor="margin" w:hAnchor="text" w:yAlign="inline"/>
        <w:numPr>
          <w:ilvl w:val="0"/>
          <w:numId w:val="0"/>
        </w:numPr>
        <w:adjustRightInd w:val="0"/>
        <w:snapToGrid w:val="0"/>
        <w:spacing w:line="360" w:lineRule="auto"/>
        <w:jc w:val="both"/>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本次</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采用</w:t>
      </w:r>
      <w:r>
        <w:rPr>
          <w:rFonts w:hint="eastAsia" w:ascii="宋体" w:hAnsi="宋体" w:eastAsia="宋体" w:cs="宋体"/>
          <w:color w:val="auto"/>
          <w:sz w:val="28"/>
          <w:szCs w:val="28"/>
          <w:highlight w:val="none"/>
          <w:lang w:eastAsia="zh-CN"/>
        </w:rPr>
        <w:t>：</w:t>
      </w:r>
    </w:p>
    <w:p w14:paraId="26728118">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w:t>
      </w:r>
    </w:p>
    <w:p w14:paraId="07C2EF72">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，是指</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lang w:eastAsia="zh-CN"/>
        </w:rPr>
        <w:t>文件满足竞价文件全部实质性要求，且报价最低的</w:t>
      </w:r>
      <w:r>
        <w:rPr>
          <w:rFonts w:hint="eastAsia" w:ascii="宋体" w:hAnsi="宋体" w:eastAsia="宋体" w:cs="宋体"/>
          <w:color w:val="auto"/>
          <w:sz w:val="28"/>
          <w:szCs w:val="28"/>
          <w:highlight w:val="none"/>
          <w:lang w:val="en-US" w:eastAsia="zh-CN"/>
        </w:rPr>
        <w:t>响应人</w:t>
      </w:r>
      <w:r>
        <w:rPr>
          <w:rFonts w:hint="eastAsia" w:ascii="宋体" w:hAnsi="宋体" w:eastAsia="宋体" w:cs="宋体"/>
          <w:color w:val="auto"/>
          <w:sz w:val="28"/>
          <w:szCs w:val="28"/>
          <w:highlight w:val="none"/>
          <w:lang w:eastAsia="zh-CN"/>
        </w:rPr>
        <w:t>为中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候选人的评标方法。</w:t>
      </w:r>
    </w:p>
    <w:p w14:paraId="47FAD43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2)评选步骤：</w:t>
      </w:r>
    </w:p>
    <w:p w14:paraId="4BED4A5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①资格</w:t>
      </w:r>
      <w:r>
        <w:rPr>
          <w:rFonts w:hint="eastAsia" w:ascii="宋体" w:hAnsi="宋体" w:eastAsia="宋体" w:cs="宋体"/>
          <w:color w:val="auto"/>
          <w:sz w:val="28"/>
          <w:szCs w:val="28"/>
          <w:highlight w:val="none"/>
          <w:lang w:val="en-US" w:eastAsia="zh-CN"/>
        </w:rPr>
        <w:t>符合</w:t>
      </w:r>
      <w:r>
        <w:rPr>
          <w:rFonts w:hint="eastAsia" w:ascii="宋体" w:hAnsi="宋体" w:eastAsia="宋体" w:cs="宋体"/>
          <w:color w:val="auto"/>
          <w:sz w:val="28"/>
          <w:szCs w:val="28"/>
          <w:highlight w:val="none"/>
          <w:lang w:eastAsia="zh-CN"/>
        </w:rPr>
        <w:t>性审查：开标结束后，采购人或者采购代理机构应当依法对响应人的响应文件进行</w:t>
      </w:r>
      <w:r>
        <w:rPr>
          <w:rFonts w:hint="eastAsia" w:ascii="宋体" w:hAnsi="宋体" w:eastAsia="宋体" w:cs="宋体"/>
          <w:color w:val="auto"/>
          <w:sz w:val="28"/>
          <w:szCs w:val="28"/>
          <w:highlight w:val="none"/>
          <w:lang w:val="en-US" w:eastAsia="zh-CN"/>
        </w:rPr>
        <w:t>资格符合</w:t>
      </w:r>
      <w:r>
        <w:rPr>
          <w:rFonts w:hint="eastAsia" w:ascii="宋体" w:hAnsi="宋体" w:eastAsia="宋体" w:cs="宋体"/>
          <w:color w:val="auto"/>
          <w:sz w:val="28"/>
          <w:szCs w:val="28"/>
          <w:highlight w:val="none"/>
          <w:lang w:eastAsia="zh-CN"/>
        </w:rPr>
        <w:t>性审查，以确定其是否满足竞价文件的实质性要求。未通过</w:t>
      </w:r>
      <w:r>
        <w:rPr>
          <w:rFonts w:hint="eastAsia" w:ascii="宋体" w:hAnsi="宋体" w:eastAsia="宋体" w:cs="宋体"/>
          <w:color w:val="auto"/>
          <w:sz w:val="28"/>
          <w:szCs w:val="28"/>
          <w:highlight w:val="none"/>
          <w:lang w:val="en-US" w:eastAsia="zh-CN"/>
        </w:rPr>
        <w:t>资格</w:t>
      </w:r>
      <w:r>
        <w:rPr>
          <w:rFonts w:hint="eastAsia" w:ascii="宋体" w:hAnsi="宋体" w:eastAsia="宋体" w:cs="宋体"/>
          <w:color w:val="auto"/>
          <w:sz w:val="28"/>
          <w:szCs w:val="28"/>
          <w:highlight w:val="none"/>
          <w:lang w:eastAsia="zh-CN"/>
        </w:rPr>
        <w:t>符合性审查的响应人，不进入价格评审。</w:t>
      </w:r>
    </w:p>
    <w:p w14:paraId="024721AA">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③</w:t>
      </w:r>
      <w:r>
        <w:rPr>
          <w:rFonts w:hint="eastAsia" w:ascii="宋体" w:hAnsi="宋体" w:eastAsia="宋体" w:cs="宋体"/>
          <w:color w:val="auto"/>
          <w:sz w:val="28"/>
          <w:szCs w:val="28"/>
          <w:highlight w:val="none"/>
          <w:lang w:eastAsia="zh-CN"/>
        </w:rPr>
        <w:t>价格评审：评</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结果按报价由低到高顺序排列。报价相同的并列，中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候选人并列的，由采购人采取</w:t>
      </w:r>
      <w:r>
        <w:rPr>
          <w:rFonts w:hint="eastAsia" w:ascii="宋体" w:hAnsi="宋体" w:eastAsia="宋体" w:cs="宋体"/>
          <w:color w:val="auto"/>
          <w:sz w:val="28"/>
          <w:szCs w:val="28"/>
          <w:highlight w:val="none"/>
          <w:lang w:val="en-US" w:eastAsia="zh-CN"/>
        </w:rPr>
        <w:t>随机抽取方式</w:t>
      </w:r>
      <w:r>
        <w:rPr>
          <w:rFonts w:hint="eastAsia" w:ascii="宋体" w:hAnsi="宋体" w:eastAsia="宋体" w:cs="宋体"/>
          <w:color w:val="auto"/>
          <w:sz w:val="28"/>
          <w:szCs w:val="28"/>
          <w:highlight w:val="none"/>
          <w:lang w:eastAsia="zh-CN"/>
        </w:rPr>
        <w:t>确定中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人。</w:t>
      </w:r>
    </w:p>
    <w:p w14:paraId="5789D5BC">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2、□综合评估法。具体标准如下：</w:t>
      </w:r>
      <w:r>
        <w:rPr>
          <w:rFonts w:hint="eastAsia" w:ascii="宋体" w:hAnsi="宋体" w:eastAsia="宋体" w:cs="宋体"/>
          <w:color w:val="auto"/>
          <w:sz w:val="28"/>
          <w:szCs w:val="28"/>
          <w:highlight w:val="none"/>
          <w:lang w:val="en-US" w:eastAsia="zh-CN"/>
        </w:rPr>
        <w:t>/</w:t>
      </w:r>
    </w:p>
    <w:p w14:paraId="2BB3F338">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p>
    <w:p w14:paraId="1F85AF6F">
      <w:pPr>
        <w:pStyle w:val="31"/>
        <w:framePr w:wrap="auto" w:vAnchor="margin" w:hAnchor="text" w:yAlign="inline"/>
        <w:wordWrap w:val="0"/>
        <w:spacing w:line="440" w:lineRule="exact"/>
        <w:jc w:val="left"/>
        <w:rPr>
          <w:rFonts w:hint="eastAsia" w:ascii="宋体" w:hAnsi="宋体" w:eastAsia="宋体" w:cs="宋体"/>
          <w:b/>
          <w:bCs/>
          <w:color w:val="auto"/>
          <w:sz w:val="32"/>
          <w:szCs w:val="32"/>
          <w:highlight w:val="none"/>
        </w:rPr>
      </w:pPr>
    </w:p>
    <w:p w14:paraId="766E24EA">
      <w:pPr>
        <w:pStyle w:val="2"/>
        <w:wordWrap w:val="0"/>
        <w:jc w:val="left"/>
        <w:rPr>
          <w:rFonts w:hint="eastAsia" w:ascii="宋体" w:hAnsi="宋体" w:eastAsia="宋体" w:cs="宋体"/>
          <w:b/>
          <w:color w:val="auto"/>
          <w:szCs w:val="24"/>
          <w:highlight w:val="none"/>
          <w:lang w:eastAsia="zh-CN"/>
        </w:rPr>
        <w:sectPr>
          <w:pgSz w:w="11900" w:h="16840"/>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linePitch="0" w:charSpace="0"/>
        </w:sectPr>
      </w:pPr>
    </w:p>
    <w:p w14:paraId="57F19789">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9" w:name="_Toc25557"/>
      <w:bookmarkStart w:id="20" w:name="_Toc19067"/>
      <w:r>
        <w:rPr>
          <w:rFonts w:hint="eastAsia" w:ascii="宋体" w:hAnsi="宋体" w:eastAsia="宋体" w:cs="宋体"/>
          <w:b/>
          <w:bCs/>
          <w:color w:val="auto"/>
          <w:sz w:val="32"/>
          <w:szCs w:val="32"/>
          <w:highlight w:val="none"/>
          <w:lang w:val="en-US" w:eastAsia="zh-CN"/>
        </w:rPr>
        <w:t>第五部分  合同主要条款</w:t>
      </w:r>
      <w:bookmarkEnd w:id="19"/>
      <w:bookmarkEnd w:id="20"/>
    </w:p>
    <w:p w14:paraId="7AF4F2B3">
      <w:pPr>
        <w:framePr w:wrap="auto" w:vAnchor="margin" w:hAnchor="text" w:yAlign="inline"/>
        <w:widowControl w:val="0"/>
        <w:jc w:val="both"/>
        <w:rPr>
          <w:rFonts w:hint="eastAsia" w:ascii="宋体" w:hAnsi="宋体" w:eastAsia="宋体" w:cs="宋体"/>
          <w:color w:val="auto"/>
          <w:kern w:val="21"/>
          <w:sz w:val="36"/>
          <w:highlight w:val="none"/>
          <w:lang w:eastAsia="zh-CN"/>
        </w:rPr>
      </w:pPr>
      <w:bookmarkStart w:id="21" w:name="_Toc16641"/>
    </w:p>
    <w:p w14:paraId="4F976949">
      <w:pPr>
        <w:framePr w:wrap="auto" w:vAnchor="margin" w:hAnchor="text" w:yAlign="inline"/>
        <w:widowControl w:val="0"/>
        <w:ind w:firstLine="2168" w:firstLineChars="600"/>
        <w:jc w:val="both"/>
        <w:rPr>
          <w:rFonts w:ascii="仿宋" w:hAnsi="仿宋" w:eastAsia="仿宋" w:cs="Times New Roman"/>
          <w:b/>
          <w:color w:val="auto"/>
          <w:kern w:val="2"/>
          <w:sz w:val="36"/>
          <w:szCs w:val="36"/>
          <w:highlight w:val="none"/>
          <w:lang w:eastAsia="zh-CN"/>
        </w:rPr>
      </w:pPr>
      <w:r>
        <w:rPr>
          <w:rFonts w:hint="eastAsia" w:ascii="仿宋" w:hAnsi="仿宋" w:eastAsia="仿宋" w:cs="Times New Roman"/>
          <w:b/>
          <w:color w:val="auto"/>
          <w:kern w:val="2"/>
          <w:sz w:val="36"/>
          <w:szCs w:val="36"/>
          <w:highlight w:val="none"/>
          <w:lang w:eastAsia="zh-CN"/>
        </w:rPr>
        <w:t>商品混凝土采购供应合同</w:t>
      </w:r>
    </w:p>
    <w:p w14:paraId="3FAA985E">
      <w:pPr>
        <w:framePr w:wrap="auto" w:vAnchor="margin" w:hAnchor="text" w:yAlign="inline"/>
        <w:widowControl w:val="0"/>
        <w:spacing w:line="400" w:lineRule="exact"/>
        <w:ind w:right="-66" w:rightChars="0"/>
        <w:jc w:val="right"/>
        <w:rPr>
          <w:rFonts w:hint="eastAsia"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val="zh-CN" w:eastAsia="zh-CN"/>
        </w:rPr>
        <w:t xml:space="preserve">                         </w:t>
      </w:r>
      <w:r>
        <w:rPr>
          <w:rFonts w:hint="eastAsia" w:ascii="仿宋" w:hAnsi="仿宋" w:eastAsia="仿宋" w:cs="Times New Roman"/>
          <w:color w:val="auto"/>
          <w:kern w:val="2"/>
          <w:sz w:val="24"/>
          <w:highlight w:val="none"/>
          <w:lang w:val="en-US" w:eastAsia="zh-CN"/>
        </w:rPr>
        <w:t xml:space="preserve"> </w:t>
      </w:r>
      <w:r>
        <w:rPr>
          <w:rFonts w:hint="eastAsia" w:ascii="仿宋" w:hAnsi="仿宋" w:eastAsia="仿宋" w:cs="Times New Roman"/>
          <w:color w:val="auto"/>
          <w:kern w:val="2"/>
          <w:sz w:val="24"/>
          <w:highlight w:val="none"/>
          <w:lang w:val="zh-CN" w:eastAsia="zh-CN"/>
        </w:rPr>
        <w:t xml:space="preserve">      </w:t>
      </w:r>
      <w:r>
        <w:rPr>
          <w:rFonts w:hint="eastAsia" w:ascii="仿宋" w:hAnsi="仿宋" w:eastAsia="仿宋" w:cs="Times New Roman"/>
          <w:color w:val="auto"/>
          <w:kern w:val="2"/>
          <w:sz w:val="24"/>
          <w:highlight w:val="none"/>
          <w:lang w:val="en-US" w:eastAsia="zh-CN"/>
        </w:rPr>
        <w:t xml:space="preserve">   </w:t>
      </w:r>
    </w:p>
    <w:p w14:paraId="1BF3984C">
      <w:pPr>
        <w:framePr w:wrap="auto" w:vAnchor="margin" w:hAnchor="text" w:yAlign="inline"/>
        <w:widowControl w:val="0"/>
        <w:jc w:val="center"/>
        <w:rPr>
          <w:rFonts w:hint="eastAsia" w:ascii="宋体" w:hAnsi="宋体" w:eastAsia="宋体" w:cs="宋体"/>
          <w:color w:val="auto"/>
          <w:kern w:val="2"/>
          <w:sz w:val="28"/>
          <w:szCs w:val="28"/>
          <w:highlight w:val="none"/>
          <w:lang w:eastAsia="zh-CN"/>
        </w:rPr>
      </w:pPr>
      <w:r>
        <w:rPr>
          <w:rFonts w:hint="eastAsia" w:ascii="宋体" w:hAnsi="宋体" w:eastAsia="宋体" w:cs="宋体"/>
          <w:color w:val="auto"/>
          <w:kern w:val="2"/>
          <w:sz w:val="28"/>
          <w:szCs w:val="28"/>
          <w:highlight w:val="none"/>
          <w:lang w:eastAsia="zh-CN"/>
        </w:rPr>
        <w:t>（注:本合同书仅为合同的供参考文本，合同签订双方可根据项目的具体要求进行修订)</w:t>
      </w:r>
    </w:p>
    <w:p w14:paraId="76E6B5AA">
      <w:pPr>
        <w:framePr w:wrap="auto" w:vAnchor="margin" w:hAnchor="text" w:yAlign="inline"/>
        <w:widowControl w:val="0"/>
        <w:spacing w:line="400" w:lineRule="exact"/>
        <w:ind w:right="-66" w:rightChars="0"/>
        <w:jc w:val="right"/>
        <w:rPr>
          <w:rFonts w:hint="eastAsia" w:ascii="仿宋" w:hAnsi="仿宋" w:eastAsia="仿宋" w:cs="Times New Roman"/>
          <w:color w:val="auto"/>
          <w:kern w:val="2"/>
          <w:sz w:val="24"/>
          <w:highlight w:val="none"/>
          <w:lang w:val="en-US" w:eastAsia="zh-CN"/>
        </w:rPr>
      </w:pPr>
    </w:p>
    <w:p w14:paraId="0A154BE5">
      <w:pPr>
        <w:framePr w:wrap="auto" w:vAnchor="margin" w:hAnchor="text" w:yAlign="inline"/>
        <w:widowControl w:val="0"/>
        <w:spacing w:line="400" w:lineRule="exact"/>
        <w:ind w:right="-66" w:rightChars="0"/>
        <w:jc w:val="right"/>
        <w:rPr>
          <w:rFonts w:hint="eastAsia" w:ascii="仿宋" w:hAnsi="仿宋" w:eastAsia="仿宋" w:cs="Times New Roman"/>
          <w:color w:val="auto"/>
          <w:kern w:val="2"/>
          <w:sz w:val="24"/>
          <w:highlight w:val="none"/>
          <w:lang w:val="zh-CN" w:eastAsia="zh-CN"/>
        </w:rPr>
      </w:pPr>
    </w:p>
    <w:p w14:paraId="2887CFB4">
      <w:pPr>
        <w:framePr w:wrap="auto" w:vAnchor="margin" w:hAnchor="text" w:yAlign="inline"/>
        <w:widowControl w:val="0"/>
        <w:wordWrap w:val="0"/>
        <w:spacing w:line="400" w:lineRule="exact"/>
        <w:ind w:right="-66" w:rightChars="0"/>
        <w:jc w:val="right"/>
        <w:rPr>
          <w:rFonts w:hint="default" w:ascii="仿宋" w:hAnsi="仿宋" w:eastAsia="仿宋" w:cs="Times New Roman"/>
          <w:bCs/>
          <w:color w:val="auto"/>
          <w:kern w:val="2"/>
          <w:sz w:val="24"/>
          <w:highlight w:val="none"/>
          <w:lang w:val="en-US" w:eastAsia="zh-CN"/>
        </w:rPr>
      </w:pPr>
      <w:r>
        <w:rPr>
          <w:rFonts w:hint="eastAsia" w:ascii="仿宋" w:hAnsi="仿宋" w:eastAsia="仿宋" w:cs="Times New Roman"/>
          <w:color w:val="auto"/>
          <w:kern w:val="2"/>
          <w:sz w:val="24"/>
          <w:highlight w:val="none"/>
          <w:lang w:val="zh-CN" w:eastAsia="zh-CN"/>
        </w:rPr>
        <w:t>合同编号：</w:t>
      </w:r>
      <w:r>
        <w:rPr>
          <w:rFonts w:hint="eastAsia" w:ascii="仿宋" w:hAnsi="仿宋" w:eastAsia="仿宋" w:cs="Times New Roman"/>
          <w:color w:val="auto"/>
          <w:kern w:val="2"/>
          <w:sz w:val="24"/>
          <w:highlight w:val="none"/>
          <w:lang w:val="en-US" w:eastAsia="zh-CN"/>
        </w:rPr>
        <w:t xml:space="preserve">       </w:t>
      </w:r>
    </w:p>
    <w:p w14:paraId="47DC5790">
      <w:pPr>
        <w:framePr w:wrap="auto" w:vAnchor="margin" w:hAnchor="text" w:yAlign="inline"/>
        <w:widowControl w:val="0"/>
        <w:spacing w:line="360" w:lineRule="auto"/>
        <w:ind w:firstLine="480" w:firstLineChars="200"/>
        <w:jc w:val="both"/>
        <w:rPr>
          <w:rFonts w:hint="default" w:ascii="仿宋" w:hAnsi="仿宋" w:eastAsia="仿宋" w:cs="Times New Roman"/>
          <w:bCs/>
          <w:color w:val="auto"/>
          <w:kern w:val="2"/>
          <w:sz w:val="24"/>
          <w:highlight w:val="none"/>
          <w:lang w:val="en-US" w:eastAsia="zh-CN"/>
        </w:rPr>
      </w:pPr>
      <w:r>
        <w:rPr>
          <w:rFonts w:hint="eastAsia" w:ascii="仿宋" w:hAnsi="仿宋" w:eastAsia="仿宋" w:cs="Times New Roman"/>
          <w:bCs/>
          <w:color w:val="auto"/>
          <w:kern w:val="2"/>
          <w:sz w:val="24"/>
          <w:highlight w:val="none"/>
          <w:lang w:eastAsia="zh-CN"/>
        </w:rPr>
        <w:t>甲方（需方）：</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single"/>
          <w:lang w:val="en-US" w:eastAsia="zh-CN"/>
        </w:rPr>
        <w:t xml:space="preserve">              </w:t>
      </w:r>
    </w:p>
    <w:p w14:paraId="45A24151">
      <w:pPr>
        <w:framePr w:wrap="auto" w:vAnchor="margin" w:hAnchor="text" w:yAlign="inline"/>
        <w:widowControl w:val="0"/>
        <w:tabs>
          <w:tab w:val="left" w:pos="720"/>
        </w:tabs>
        <w:spacing w:line="360" w:lineRule="auto"/>
        <w:ind w:firstLine="480" w:firstLineChars="200"/>
        <w:jc w:val="both"/>
        <w:rPr>
          <w:rFonts w:ascii="仿宋" w:hAnsi="仿宋" w:eastAsia="仿宋" w:cs="Times New Roman"/>
          <w:b/>
          <w:color w:val="auto"/>
          <w:kern w:val="2"/>
          <w:sz w:val="24"/>
          <w:highlight w:val="none"/>
          <w:lang w:eastAsia="zh-CN"/>
        </w:rPr>
      </w:pPr>
      <w:r>
        <w:rPr>
          <w:rFonts w:hint="eastAsia" w:ascii="仿宋" w:hAnsi="仿宋" w:eastAsia="仿宋" w:cs="Times New Roman"/>
          <w:bCs/>
          <w:color w:val="auto"/>
          <w:kern w:val="2"/>
          <w:sz w:val="24"/>
          <w:highlight w:val="none"/>
          <w:lang w:eastAsia="zh-CN"/>
        </w:rPr>
        <w:t>乙方（供方）：</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b/>
          <w:color w:val="auto"/>
          <w:kern w:val="2"/>
          <w:sz w:val="24"/>
          <w:highlight w:val="none"/>
          <w:lang w:eastAsia="zh-CN"/>
        </w:rPr>
        <w:t xml:space="preserve">  </w:t>
      </w:r>
    </w:p>
    <w:p w14:paraId="41236D72">
      <w:pPr>
        <w:framePr w:wrap="auto" w:vAnchor="margin" w:hAnchor="text" w:yAlign="inline"/>
        <w:widowControl w:val="0"/>
        <w:tabs>
          <w:tab w:val="left" w:pos="720"/>
        </w:tabs>
        <w:spacing w:line="360" w:lineRule="auto"/>
        <w:ind w:firstLine="480" w:firstLineChars="200"/>
        <w:jc w:val="both"/>
        <w:rPr>
          <w:rFonts w:ascii="仿宋" w:hAnsi="仿宋" w:eastAsia="仿宋" w:cs="宋体"/>
          <w:color w:val="auto"/>
          <w:kern w:val="2"/>
          <w:sz w:val="24"/>
          <w:highlight w:val="none"/>
          <w:lang w:eastAsia="zh-CN"/>
        </w:rPr>
      </w:pPr>
      <w:r>
        <w:rPr>
          <w:rFonts w:hint="eastAsia" w:ascii="仿宋" w:hAnsi="仿宋" w:eastAsia="仿宋" w:cs="宋体"/>
          <w:color w:val="auto"/>
          <w:kern w:val="0"/>
          <w:sz w:val="24"/>
          <w:highlight w:val="none"/>
          <w:lang w:eastAsia="zh-CN"/>
        </w:rPr>
        <w:t>根据《中华人民共和国民法典》及其它有关法律、行政法规。为了明确双方的权利义务，遵循平等、自愿、公平和诚实信用的原则。甲方因工程施工进展的需要，向乙方购置</w:t>
      </w:r>
      <w:r>
        <w:rPr>
          <w:rFonts w:hint="eastAsia" w:ascii="仿宋" w:hAnsi="仿宋" w:eastAsia="仿宋" w:cs="宋体"/>
          <w:color w:val="auto"/>
          <w:kern w:val="0"/>
          <w:sz w:val="24"/>
          <w:highlight w:val="none"/>
          <w:u w:val="single"/>
          <w:lang w:val="en-US" w:eastAsia="zh-CN"/>
        </w:rPr>
        <w:t xml:space="preserve">    </w:t>
      </w:r>
      <w:r>
        <w:rPr>
          <w:rFonts w:hint="eastAsia" w:ascii="仿宋" w:hAnsi="仿宋" w:eastAsia="仿宋" w:cs="宋体"/>
          <w:color w:val="auto"/>
          <w:kern w:val="0"/>
          <w:sz w:val="24"/>
          <w:highlight w:val="none"/>
          <w:lang w:eastAsia="zh-CN"/>
        </w:rPr>
        <w:t>。双方就</w:t>
      </w:r>
      <w:r>
        <w:rPr>
          <w:rFonts w:hint="eastAsia" w:ascii="仿宋" w:hAnsi="仿宋" w:eastAsia="仿宋" w:cs="宋体"/>
          <w:color w:val="auto"/>
          <w:kern w:val="0"/>
          <w:sz w:val="24"/>
          <w:highlight w:val="none"/>
          <w:u w:val="single"/>
          <w:lang w:val="en-US" w:eastAsia="zh-CN"/>
        </w:rPr>
        <w:t xml:space="preserve">      </w:t>
      </w:r>
      <w:r>
        <w:rPr>
          <w:rFonts w:hint="eastAsia" w:ascii="仿宋" w:hAnsi="仿宋" w:eastAsia="仿宋" w:cs="宋体"/>
          <w:color w:val="auto"/>
          <w:kern w:val="0"/>
          <w:sz w:val="24"/>
          <w:highlight w:val="none"/>
          <w:lang w:eastAsia="zh-CN"/>
        </w:rPr>
        <w:t>采购供应有关事项达成如下协议共同遵守执行：</w:t>
      </w:r>
    </w:p>
    <w:p w14:paraId="52748F17">
      <w:pPr>
        <w:framePr w:wrap="auto" w:vAnchor="margin" w:hAnchor="text" w:yAlign="inline"/>
        <w:widowControl w:val="0"/>
        <w:numPr>
          <w:ilvl w:val="0"/>
          <w:numId w:val="2"/>
        </w:numPr>
        <w:spacing w:line="360" w:lineRule="auto"/>
        <w:ind w:firstLine="482" w:firstLineChars="200"/>
        <w:jc w:val="both"/>
        <w:rPr>
          <w:rFonts w:hint="eastAsia" w:ascii="仿宋" w:hAnsi="仿宋" w:eastAsia="仿宋" w:cs="宋体"/>
          <w:b/>
          <w:color w:val="auto"/>
          <w:kern w:val="2"/>
          <w:sz w:val="24"/>
          <w:highlight w:val="none"/>
          <w:lang w:eastAsia="zh-CN"/>
        </w:rPr>
      </w:pPr>
      <w:r>
        <w:rPr>
          <w:rFonts w:hint="eastAsia" w:ascii="仿宋" w:hAnsi="仿宋" w:eastAsia="仿宋" w:cs="宋体"/>
          <w:b/>
          <w:color w:val="auto"/>
          <w:kern w:val="2"/>
          <w:sz w:val="24"/>
          <w:highlight w:val="none"/>
          <w:lang w:eastAsia="zh-CN"/>
        </w:rPr>
        <w:t>产品名称、砼级别、数量、单价</w:t>
      </w:r>
    </w:p>
    <w:tbl>
      <w:tblPr>
        <w:tblStyle w:val="18"/>
        <w:tblW w:w="9384" w:type="dxa"/>
        <w:tblInd w:w="0" w:type="dxa"/>
        <w:tblLayout w:type="fixed"/>
        <w:tblCellMar>
          <w:top w:w="0" w:type="dxa"/>
          <w:left w:w="108" w:type="dxa"/>
          <w:bottom w:w="0" w:type="dxa"/>
          <w:right w:w="108" w:type="dxa"/>
        </w:tblCellMar>
      </w:tblPr>
      <w:tblGrid>
        <w:gridCol w:w="560"/>
        <w:gridCol w:w="1443"/>
        <w:gridCol w:w="1246"/>
        <w:gridCol w:w="1065"/>
        <w:gridCol w:w="1065"/>
        <w:gridCol w:w="1365"/>
        <w:gridCol w:w="1575"/>
        <w:gridCol w:w="1065"/>
      </w:tblGrid>
      <w:tr w14:paraId="4A3A2773">
        <w:tblPrEx>
          <w:tblCellMar>
            <w:top w:w="0" w:type="dxa"/>
            <w:left w:w="108" w:type="dxa"/>
            <w:bottom w:w="0" w:type="dxa"/>
            <w:right w:w="108" w:type="dxa"/>
          </w:tblCellMar>
        </w:tblPrEx>
        <w:trPr>
          <w:trHeight w:val="602" w:hRule="atLeast"/>
        </w:trPr>
        <w:tc>
          <w:tcPr>
            <w:tcW w:w="560" w:type="dxa"/>
            <w:tcBorders>
              <w:top w:val="single" w:color="auto" w:sz="4" w:space="0"/>
              <w:left w:val="single" w:color="auto" w:sz="4" w:space="0"/>
              <w:bottom w:val="single" w:color="auto" w:sz="4" w:space="0"/>
              <w:right w:val="single" w:color="auto" w:sz="4" w:space="0"/>
            </w:tcBorders>
            <w:noWrap w:val="0"/>
            <w:vAlign w:val="center"/>
          </w:tcPr>
          <w:p w14:paraId="77B8C8A7">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2"/>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序号</w:t>
            </w:r>
          </w:p>
        </w:tc>
        <w:tc>
          <w:tcPr>
            <w:tcW w:w="1443" w:type="dxa"/>
            <w:tcBorders>
              <w:top w:val="single" w:color="auto" w:sz="4" w:space="0"/>
              <w:left w:val="single" w:color="auto" w:sz="4" w:space="0"/>
              <w:bottom w:val="single" w:color="auto" w:sz="4" w:space="0"/>
              <w:right w:val="single" w:color="auto" w:sz="4" w:space="0"/>
            </w:tcBorders>
            <w:noWrap w:val="0"/>
            <w:vAlign w:val="center"/>
          </w:tcPr>
          <w:p w14:paraId="4A9CE904">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2"/>
                <w:sz w:val="24"/>
                <w:szCs w:val="24"/>
                <w:highlight w:val="none"/>
                <w:shd w:val="clear" w:color="auto" w:fill="auto"/>
                <w:lang w:val="zh-CN" w:eastAsia="zh-CN"/>
              </w:rPr>
            </w:pPr>
            <w:r>
              <w:rPr>
                <w:rFonts w:hint="eastAsia" w:ascii="仿宋" w:hAnsi="仿宋" w:eastAsia="仿宋" w:cs="仿宋"/>
                <w:i w:val="0"/>
                <w:color w:val="auto"/>
                <w:kern w:val="0"/>
                <w:sz w:val="24"/>
                <w:szCs w:val="24"/>
                <w:highlight w:val="none"/>
                <w:u w:val="none"/>
                <w:lang w:val="en-US" w:eastAsia="zh-CN" w:bidi="ar"/>
              </w:rPr>
              <w:t>材料名称</w:t>
            </w:r>
          </w:p>
        </w:tc>
        <w:tc>
          <w:tcPr>
            <w:tcW w:w="1246" w:type="dxa"/>
            <w:tcBorders>
              <w:top w:val="single" w:color="auto" w:sz="4" w:space="0"/>
              <w:left w:val="single" w:color="auto" w:sz="4" w:space="0"/>
              <w:bottom w:val="single" w:color="auto" w:sz="4" w:space="0"/>
              <w:right w:val="single" w:color="auto" w:sz="4" w:space="0"/>
            </w:tcBorders>
            <w:noWrap w:val="0"/>
            <w:vAlign w:val="center"/>
          </w:tcPr>
          <w:p w14:paraId="62270C93">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2"/>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规格型号</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1557FDAC">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2"/>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单位</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27BF0FF4">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2"/>
                <w:sz w:val="24"/>
                <w:szCs w:val="24"/>
                <w:highlight w:val="none"/>
                <w:shd w:val="clear" w:color="auto" w:fill="auto"/>
                <w:lang w:val="zh-CN" w:eastAsia="zh-CN"/>
              </w:rPr>
            </w:pPr>
            <w:r>
              <w:rPr>
                <w:rFonts w:hint="eastAsia" w:ascii="仿宋" w:hAnsi="仿宋" w:eastAsia="仿宋" w:cs="仿宋"/>
                <w:i w:val="0"/>
                <w:color w:val="auto"/>
                <w:kern w:val="0"/>
                <w:sz w:val="24"/>
                <w:szCs w:val="24"/>
                <w:highlight w:val="none"/>
                <w:u w:val="none"/>
                <w:lang w:val="en-US" w:eastAsia="zh-CN" w:bidi="ar"/>
              </w:rPr>
              <w:t>数量</w:t>
            </w:r>
          </w:p>
        </w:tc>
        <w:tc>
          <w:tcPr>
            <w:tcW w:w="1365" w:type="dxa"/>
            <w:tcBorders>
              <w:top w:val="single" w:color="auto" w:sz="4" w:space="0"/>
              <w:left w:val="single" w:color="auto" w:sz="4" w:space="0"/>
              <w:bottom w:val="single" w:color="000000" w:sz="4" w:space="0"/>
              <w:right w:val="single" w:color="auto" w:sz="4" w:space="0"/>
            </w:tcBorders>
            <w:noWrap w:val="0"/>
            <w:vAlign w:val="center"/>
          </w:tcPr>
          <w:p w14:paraId="6647316C">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2"/>
                <w:sz w:val="24"/>
                <w:szCs w:val="24"/>
                <w:highlight w:val="none"/>
                <w:shd w:val="clear" w:color="auto" w:fill="auto"/>
                <w:lang w:val="zh-CN" w:eastAsia="zh-CN"/>
              </w:rPr>
            </w:pPr>
            <w:r>
              <w:rPr>
                <w:rFonts w:hint="eastAsia" w:ascii="仿宋" w:hAnsi="仿宋" w:eastAsia="仿宋" w:cs="仿宋"/>
                <w:i w:val="0"/>
                <w:color w:val="auto"/>
                <w:kern w:val="0"/>
                <w:sz w:val="24"/>
                <w:szCs w:val="24"/>
                <w:highlight w:val="none"/>
                <w:u w:val="none"/>
                <w:lang w:val="en-US" w:eastAsia="zh-CN" w:bidi="ar"/>
              </w:rPr>
              <w:t>含增值税单价（元）</w:t>
            </w:r>
          </w:p>
        </w:tc>
        <w:tc>
          <w:tcPr>
            <w:tcW w:w="1575" w:type="dxa"/>
            <w:tcBorders>
              <w:top w:val="single" w:color="auto" w:sz="4" w:space="0"/>
              <w:left w:val="single" w:color="auto" w:sz="4" w:space="0"/>
              <w:bottom w:val="single" w:color="auto" w:sz="4" w:space="0"/>
              <w:right w:val="single" w:color="auto" w:sz="4" w:space="0"/>
            </w:tcBorders>
            <w:noWrap w:val="0"/>
            <w:vAlign w:val="center"/>
          </w:tcPr>
          <w:p w14:paraId="2BED3B24">
            <w:pPr>
              <w:keepNext w:val="0"/>
              <w:keepLines w:val="0"/>
              <w:framePr w:wrap="auto" w:vAnchor="margin" w:hAnchor="text" w:yAlign="inline"/>
              <w:widowControl/>
              <w:suppressLineNumbers w:val="0"/>
              <w:jc w:val="center"/>
              <w:textAlignment w:val="center"/>
              <w:rPr>
                <w:rFonts w:hint="eastAsia" w:ascii="仿宋" w:hAnsi="仿宋" w:eastAsia="仿宋" w:cs="仿宋"/>
                <w:bCs/>
                <w:color w:val="auto"/>
                <w:kern w:val="0"/>
                <w:sz w:val="24"/>
                <w:szCs w:val="24"/>
                <w:highlight w:val="none"/>
                <w:shd w:val="clear" w:color="auto" w:fill="auto"/>
                <w:lang w:val="en-US" w:eastAsia="zh-CN"/>
              </w:rPr>
            </w:pPr>
            <w:r>
              <w:rPr>
                <w:rFonts w:hint="eastAsia" w:ascii="仿宋" w:hAnsi="仿宋" w:eastAsia="仿宋" w:cs="仿宋"/>
                <w:color w:val="auto"/>
                <w:kern w:val="2"/>
                <w:highlight w:val="none"/>
                <w:u w:val="none"/>
                <w:lang w:val="en-US" w:eastAsia="zh-CN" w:bidi="ar"/>
              </w:rPr>
              <w:t>含增值税金额（元）</w:t>
            </w:r>
          </w:p>
        </w:tc>
        <w:tc>
          <w:tcPr>
            <w:tcW w:w="1065" w:type="dxa"/>
            <w:tcBorders>
              <w:top w:val="single" w:color="auto" w:sz="4" w:space="0"/>
              <w:left w:val="single" w:color="auto" w:sz="4" w:space="0"/>
              <w:bottom w:val="single" w:color="auto" w:sz="4" w:space="0"/>
              <w:right w:val="single" w:color="auto" w:sz="4" w:space="0"/>
            </w:tcBorders>
            <w:noWrap w:val="0"/>
            <w:vAlign w:val="center"/>
          </w:tcPr>
          <w:p w14:paraId="49586F93">
            <w:pPr>
              <w:keepNext w:val="0"/>
              <w:keepLines w:val="0"/>
              <w:framePr w:wrap="auto" w:vAnchor="margin" w:hAnchor="text" w:yAlign="inline"/>
              <w:widowControl/>
              <w:suppressLineNumbers w:val="0"/>
              <w:jc w:val="center"/>
              <w:textAlignment w:val="center"/>
              <w:rPr>
                <w:rFonts w:hint="eastAsia" w:ascii="仿宋" w:hAnsi="仿宋" w:eastAsia="仿宋" w:cs="仿宋"/>
                <w:bCs/>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备注</w:t>
            </w:r>
          </w:p>
        </w:tc>
      </w:tr>
      <w:tr w14:paraId="01BA85F9">
        <w:tblPrEx>
          <w:tblCellMar>
            <w:top w:w="0" w:type="dxa"/>
            <w:left w:w="108" w:type="dxa"/>
            <w:bottom w:w="0" w:type="dxa"/>
            <w:right w:w="108" w:type="dxa"/>
          </w:tblCellMar>
        </w:tblPrEx>
        <w:trPr>
          <w:trHeight w:val="454" w:hRule="exact"/>
        </w:trPr>
        <w:tc>
          <w:tcPr>
            <w:tcW w:w="560" w:type="dxa"/>
            <w:tcBorders>
              <w:top w:val="single" w:color="auto" w:sz="4" w:space="0"/>
              <w:left w:val="single" w:color="auto" w:sz="4" w:space="0"/>
              <w:bottom w:val="single" w:color="auto" w:sz="4" w:space="0"/>
              <w:right w:val="single" w:color="auto" w:sz="4" w:space="0"/>
            </w:tcBorders>
            <w:noWrap w:val="0"/>
            <w:vAlign w:val="center"/>
          </w:tcPr>
          <w:p w14:paraId="4FD5D429">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1</w:t>
            </w:r>
          </w:p>
        </w:tc>
        <w:tc>
          <w:tcPr>
            <w:tcW w:w="1443" w:type="dxa"/>
            <w:tcBorders>
              <w:top w:val="single" w:color="auto" w:sz="4" w:space="0"/>
              <w:left w:val="single" w:color="auto" w:sz="4" w:space="0"/>
              <w:bottom w:val="single" w:color="auto" w:sz="4" w:space="0"/>
              <w:right w:val="single" w:color="auto" w:sz="4" w:space="0"/>
            </w:tcBorders>
            <w:noWrap w:val="0"/>
            <w:vAlign w:val="center"/>
          </w:tcPr>
          <w:p w14:paraId="163EA145">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商品混凝土</w:t>
            </w:r>
          </w:p>
        </w:tc>
        <w:tc>
          <w:tcPr>
            <w:tcW w:w="1246" w:type="dxa"/>
            <w:tcBorders>
              <w:top w:val="single" w:color="auto" w:sz="4" w:space="0"/>
              <w:left w:val="nil"/>
              <w:bottom w:val="single" w:color="auto" w:sz="4" w:space="0"/>
              <w:right w:val="single" w:color="auto" w:sz="4" w:space="0"/>
            </w:tcBorders>
            <w:noWrap w:val="0"/>
            <w:vAlign w:val="center"/>
          </w:tcPr>
          <w:p w14:paraId="0483C19A">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C15</w:t>
            </w:r>
          </w:p>
        </w:tc>
        <w:tc>
          <w:tcPr>
            <w:tcW w:w="1065" w:type="dxa"/>
            <w:tcBorders>
              <w:top w:val="nil"/>
              <w:left w:val="nil"/>
              <w:bottom w:val="single" w:color="auto" w:sz="4" w:space="0"/>
              <w:right w:val="single" w:color="auto" w:sz="4" w:space="0"/>
            </w:tcBorders>
            <w:noWrap w:val="0"/>
            <w:vAlign w:val="center"/>
          </w:tcPr>
          <w:p w14:paraId="14B72A85">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m³</w:t>
            </w:r>
          </w:p>
        </w:tc>
        <w:tc>
          <w:tcPr>
            <w:tcW w:w="1065" w:type="dxa"/>
            <w:tcBorders>
              <w:top w:val="nil"/>
              <w:left w:val="nil"/>
              <w:bottom w:val="single" w:color="auto" w:sz="4" w:space="0"/>
              <w:right w:val="single" w:color="auto" w:sz="4" w:space="0"/>
            </w:tcBorders>
            <w:noWrap w:val="0"/>
            <w:vAlign w:val="center"/>
          </w:tcPr>
          <w:p w14:paraId="5AA248E1">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30</w:t>
            </w:r>
          </w:p>
        </w:tc>
        <w:tc>
          <w:tcPr>
            <w:tcW w:w="1365" w:type="dxa"/>
            <w:tcBorders>
              <w:top w:val="nil"/>
              <w:left w:val="nil"/>
              <w:bottom w:val="single" w:color="auto" w:sz="4" w:space="0"/>
              <w:right w:val="single" w:color="auto" w:sz="4" w:space="0"/>
            </w:tcBorders>
            <w:noWrap w:val="0"/>
            <w:vAlign w:val="center"/>
          </w:tcPr>
          <w:p w14:paraId="43E9144F">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0"/>
                <w:sz w:val="24"/>
                <w:szCs w:val="24"/>
                <w:highlight w:val="none"/>
                <w:shd w:val="clear" w:color="auto" w:fill="auto"/>
                <w:lang w:val="en-US" w:eastAsia="zh-CN"/>
              </w:rPr>
            </w:pPr>
          </w:p>
        </w:tc>
        <w:tc>
          <w:tcPr>
            <w:tcW w:w="1575" w:type="dxa"/>
            <w:tcBorders>
              <w:top w:val="single" w:color="auto" w:sz="4" w:space="0"/>
              <w:left w:val="single" w:color="auto" w:sz="4" w:space="0"/>
              <w:bottom w:val="single" w:color="auto" w:sz="4" w:space="0"/>
              <w:right w:val="single" w:color="auto" w:sz="4" w:space="0"/>
            </w:tcBorders>
            <w:noWrap w:val="0"/>
            <w:vAlign w:val="center"/>
          </w:tcPr>
          <w:p w14:paraId="76BA5B1A">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zh-CN" w:eastAsia="zh-CN"/>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4D0F6B27">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zh-CN" w:eastAsia="zh-CN"/>
              </w:rPr>
            </w:pPr>
          </w:p>
        </w:tc>
      </w:tr>
      <w:tr w14:paraId="2E033469">
        <w:tblPrEx>
          <w:tblCellMar>
            <w:top w:w="0" w:type="dxa"/>
            <w:left w:w="108" w:type="dxa"/>
            <w:bottom w:w="0" w:type="dxa"/>
            <w:right w:w="108" w:type="dxa"/>
          </w:tblCellMar>
        </w:tblPrEx>
        <w:trPr>
          <w:trHeight w:val="454" w:hRule="exact"/>
        </w:trPr>
        <w:tc>
          <w:tcPr>
            <w:tcW w:w="560" w:type="dxa"/>
            <w:tcBorders>
              <w:top w:val="single" w:color="auto" w:sz="4" w:space="0"/>
              <w:left w:val="single" w:color="auto" w:sz="4" w:space="0"/>
              <w:bottom w:val="single" w:color="auto" w:sz="4" w:space="0"/>
              <w:right w:val="single" w:color="auto" w:sz="4" w:space="0"/>
            </w:tcBorders>
            <w:noWrap w:val="0"/>
            <w:vAlign w:val="center"/>
          </w:tcPr>
          <w:p w14:paraId="60F22B90">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2</w:t>
            </w:r>
          </w:p>
        </w:tc>
        <w:tc>
          <w:tcPr>
            <w:tcW w:w="1443" w:type="dxa"/>
            <w:tcBorders>
              <w:top w:val="single" w:color="auto" w:sz="4" w:space="0"/>
              <w:left w:val="single" w:color="auto" w:sz="4" w:space="0"/>
              <w:bottom w:val="single" w:color="auto" w:sz="4" w:space="0"/>
              <w:right w:val="single" w:color="auto" w:sz="4" w:space="0"/>
            </w:tcBorders>
            <w:noWrap w:val="0"/>
            <w:vAlign w:val="center"/>
          </w:tcPr>
          <w:p w14:paraId="50F3130A">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商品混凝土</w:t>
            </w:r>
          </w:p>
        </w:tc>
        <w:tc>
          <w:tcPr>
            <w:tcW w:w="1246" w:type="dxa"/>
            <w:tcBorders>
              <w:top w:val="single" w:color="auto" w:sz="4" w:space="0"/>
              <w:left w:val="nil"/>
              <w:bottom w:val="single" w:color="auto" w:sz="4" w:space="0"/>
              <w:right w:val="single" w:color="auto" w:sz="4" w:space="0"/>
            </w:tcBorders>
            <w:noWrap w:val="0"/>
            <w:vAlign w:val="center"/>
          </w:tcPr>
          <w:p w14:paraId="03C0BDDB">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C20</w:t>
            </w:r>
          </w:p>
        </w:tc>
        <w:tc>
          <w:tcPr>
            <w:tcW w:w="1065" w:type="dxa"/>
            <w:tcBorders>
              <w:top w:val="nil"/>
              <w:left w:val="nil"/>
              <w:bottom w:val="single" w:color="auto" w:sz="4" w:space="0"/>
              <w:right w:val="single" w:color="auto" w:sz="4" w:space="0"/>
            </w:tcBorders>
            <w:noWrap w:val="0"/>
            <w:vAlign w:val="center"/>
          </w:tcPr>
          <w:p w14:paraId="7E36C2CA">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m³</w:t>
            </w:r>
          </w:p>
        </w:tc>
        <w:tc>
          <w:tcPr>
            <w:tcW w:w="1065" w:type="dxa"/>
            <w:tcBorders>
              <w:top w:val="nil"/>
              <w:left w:val="nil"/>
              <w:bottom w:val="single" w:color="auto" w:sz="4" w:space="0"/>
              <w:right w:val="single" w:color="auto" w:sz="4" w:space="0"/>
            </w:tcBorders>
            <w:noWrap w:val="0"/>
            <w:vAlign w:val="center"/>
          </w:tcPr>
          <w:p w14:paraId="71A223E4">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1666</w:t>
            </w:r>
          </w:p>
        </w:tc>
        <w:tc>
          <w:tcPr>
            <w:tcW w:w="1365" w:type="dxa"/>
            <w:tcBorders>
              <w:top w:val="nil"/>
              <w:left w:val="nil"/>
              <w:bottom w:val="single" w:color="auto" w:sz="4" w:space="0"/>
              <w:right w:val="single" w:color="auto" w:sz="4" w:space="0"/>
            </w:tcBorders>
            <w:noWrap w:val="0"/>
            <w:vAlign w:val="center"/>
          </w:tcPr>
          <w:p w14:paraId="286960C3">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p>
        </w:tc>
        <w:tc>
          <w:tcPr>
            <w:tcW w:w="1575" w:type="dxa"/>
            <w:tcBorders>
              <w:top w:val="single" w:color="auto" w:sz="4" w:space="0"/>
              <w:left w:val="single" w:color="auto" w:sz="4" w:space="0"/>
              <w:bottom w:val="single" w:color="auto" w:sz="4" w:space="0"/>
              <w:right w:val="single" w:color="auto" w:sz="4" w:space="0"/>
            </w:tcBorders>
            <w:noWrap w:val="0"/>
            <w:vAlign w:val="center"/>
          </w:tcPr>
          <w:p w14:paraId="5E1AA73B">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zh-CN" w:eastAsia="zh-CN"/>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24CB37A1">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zh-CN" w:eastAsia="zh-CN"/>
              </w:rPr>
            </w:pPr>
          </w:p>
        </w:tc>
      </w:tr>
      <w:tr w14:paraId="2046BD90">
        <w:tblPrEx>
          <w:tblCellMar>
            <w:top w:w="0" w:type="dxa"/>
            <w:left w:w="108" w:type="dxa"/>
            <w:bottom w:w="0" w:type="dxa"/>
            <w:right w:w="108" w:type="dxa"/>
          </w:tblCellMar>
        </w:tblPrEx>
        <w:trPr>
          <w:trHeight w:val="454" w:hRule="exact"/>
        </w:trPr>
        <w:tc>
          <w:tcPr>
            <w:tcW w:w="560" w:type="dxa"/>
            <w:tcBorders>
              <w:top w:val="single" w:color="auto" w:sz="4" w:space="0"/>
              <w:left w:val="single" w:color="auto" w:sz="4" w:space="0"/>
              <w:bottom w:val="single" w:color="auto" w:sz="4" w:space="0"/>
              <w:right w:val="single" w:color="auto" w:sz="4" w:space="0"/>
            </w:tcBorders>
            <w:noWrap w:val="0"/>
            <w:vAlign w:val="center"/>
          </w:tcPr>
          <w:p w14:paraId="5ECCB863">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3</w:t>
            </w:r>
          </w:p>
        </w:tc>
        <w:tc>
          <w:tcPr>
            <w:tcW w:w="1443" w:type="dxa"/>
            <w:tcBorders>
              <w:top w:val="single" w:color="auto" w:sz="4" w:space="0"/>
              <w:left w:val="single" w:color="auto" w:sz="4" w:space="0"/>
              <w:bottom w:val="single" w:color="auto" w:sz="4" w:space="0"/>
              <w:right w:val="single" w:color="auto" w:sz="4" w:space="0"/>
            </w:tcBorders>
            <w:noWrap w:val="0"/>
            <w:vAlign w:val="center"/>
          </w:tcPr>
          <w:p w14:paraId="3A18B60B">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商品混凝土</w:t>
            </w:r>
          </w:p>
        </w:tc>
        <w:tc>
          <w:tcPr>
            <w:tcW w:w="1246" w:type="dxa"/>
            <w:tcBorders>
              <w:top w:val="single" w:color="auto" w:sz="4" w:space="0"/>
              <w:left w:val="nil"/>
              <w:bottom w:val="single" w:color="auto" w:sz="4" w:space="0"/>
              <w:right w:val="single" w:color="auto" w:sz="4" w:space="0"/>
            </w:tcBorders>
            <w:noWrap w:val="0"/>
            <w:vAlign w:val="center"/>
          </w:tcPr>
          <w:p w14:paraId="250EADAA">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C25</w:t>
            </w:r>
          </w:p>
        </w:tc>
        <w:tc>
          <w:tcPr>
            <w:tcW w:w="1065" w:type="dxa"/>
            <w:tcBorders>
              <w:top w:val="nil"/>
              <w:left w:val="nil"/>
              <w:bottom w:val="single" w:color="auto" w:sz="4" w:space="0"/>
              <w:right w:val="single" w:color="auto" w:sz="4" w:space="0"/>
            </w:tcBorders>
            <w:noWrap w:val="0"/>
            <w:vAlign w:val="center"/>
          </w:tcPr>
          <w:p w14:paraId="78326D92">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m³</w:t>
            </w:r>
          </w:p>
        </w:tc>
        <w:tc>
          <w:tcPr>
            <w:tcW w:w="1065" w:type="dxa"/>
            <w:tcBorders>
              <w:top w:val="nil"/>
              <w:left w:val="nil"/>
              <w:bottom w:val="single" w:color="auto" w:sz="4" w:space="0"/>
              <w:right w:val="single" w:color="auto" w:sz="4" w:space="0"/>
            </w:tcBorders>
            <w:noWrap w:val="0"/>
            <w:vAlign w:val="center"/>
          </w:tcPr>
          <w:p w14:paraId="5110E308">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2234</w:t>
            </w:r>
          </w:p>
        </w:tc>
        <w:tc>
          <w:tcPr>
            <w:tcW w:w="1365" w:type="dxa"/>
            <w:tcBorders>
              <w:top w:val="nil"/>
              <w:left w:val="nil"/>
              <w:bottom w:val="single" w:color="auto" w:sz="4" w:space="0"/>
              <w:right w:val="single" w:color="auto" w:sz="4" w:space="0"/>
            </w:tcBorders>
            <w:noWrap w:val="0"/>
            <w:vAlign w:val="center"/>
          </w:tcPr>
          <w:p w14:paraId="32A50CA5">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0"/>
                <w:sz w:val="24"/>
                <w:szCs w:val="24"/>
                <w:highlight w:val="none"/>
                <w:shd w:val="clear" w:color="auto" w:fill="auto"/>
                <w:lang w:val="en-US" w:eastAsia="zh-CN"/>
              </w:rPr>
            </w:pPr>
          </w:p>
        </w:tc>
        <w:tc>
          <w:tcPr>
            <w:tcW w:w="1575" w:type="dxa"/>
            <w:tcBorders>
              <w:top w:val="single" w:color="auto" w:sz="4" w:space="0"/>
              <w:left w:val="single" w:color="auto" w:sz="4" w:space="0"/>
              <w:bottom w:val="single" w:color="auto" w:sz="4" w:space="0"/>
              <w:right w:val="single" w:color="auto" w:sz="4" w:space="0"/>
            </w:tcBorders>
            <w:noWrap w:val="0"/>
            <w:vAlign w:val="center"/>
          </w:tcPr>
          <w:p w14:paraId="1850DA54">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zh-CN" w:eastAsia="zh-CN"/>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16A81296">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zh-CN" w:eastAsia="zh-CN"/>
              </w:rPr>
            </w:pPr>
          </w:p>
        </w:tc>
      </w:tr>
      <w:tr w14:paraId="19E932D4">
        <w:tblPrEx>
          <w:tblCellMar>
            <w:top w:w="0" w:type="dxa"/>
            <w:left w:w="108" w:type="dxa"/>
            <w:bottom w:w="0" w:type="dxa"/>
            <w:right w:w="108" w:type="dxa"/>
          </w:tblCellMar>
        </w:tblPrEx>
        <w:trPr>
          <w:trHeight w:val="454" w:hRule="exact"/>
        </w:trPr>
        <w:tc>
          <w:tcPr>
            <w:tcW w:w="560" w:type="dxa"/>
            <w:tcBorders>
              <w:top w:val="single" w:color="auto" w:sz="4" w:space="0"/>
              <w:left w:val="single" w:color="auto" w:sz="4" w:space="0"/>
              <w:bottom w:val="single" w:color="auto" w:sz="4" w:space="0"/>
              <w:right w:val="single" w:color="auto" w:sz="4" w:space="0"/>
            </w:tcBorders>
            <w:noWrap w:val="0"/>
            <w:vAlign w:val="center"/>
          </w:tcPr>
          <w:p w14:paraId="425BB722">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4</w:t>
            </w:r>
          </w:p>
        </w:tc>
        <w:tc>
          <w:tcPr>
            <w:tcW w:w="1443" w:type="dxa"/>
            <w:tcBorders>
              <w:top w:val="single" w:color="auto" w:sz="4" w:space="0"/>
              <w:left w:val="single" w:color="auto" w:sz="4" w:space="0"/>
              <w:bottom w:val="single" w:color="auto" w:sz="4" w:space="0"/>
              <w:right w:val="single" w:color="auto" w:sz="4" w:space="0"/>
            </w:tcBorders>
            <w:noWrap w:val="0"/>
            <w:vAlign w:val="center"/>
          </w:tcPr>
          <w:p w14:paraId="3F8CBCB7">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商品混凝土</w:t>
            </w:r>
          </w:p>
        </w:tc>
        <w:tc>
          <w:tcPr>
            <w:tcW w:w="1246" w:type="dxa"/>
            <w:tcBorders>
              <w:top w:val="single" w:color="auto" w:sz="4" w:space="0"/>
              <w:left w:val="nil"/>
              <w:bottom w:val="single" w:color="auto" w:sz="4" w:space="0"/>
              <w:right w:val="single" w:color="auto" w:sz="4" w:space="0"/>
            </w:tcBorders>
            <w:noWrap w:val="0"/>
            <w:vAlign w:val="center"/>
          </w:tcPr>
          <w:p w14:paraId="3D0B0639">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C30</w:t>
            </w:r>
          </w:p>
        </w:tc>
        <w:tc>
          <w:tcPr>
            <w:tcW w:w="1065" w:type="dxa"/>
            <w:tcBorders>
              <w:top w:val="nil"/>
              <w:left w:val="nil"/>
              <w:bottom w:val="single" w:color="auto" w:sz="4" w:space="0"/>
              <w:right w:val="single" w:color="auto" w:sz="4" w:space="0"/>
            </w:tcBorders>
            <w:noWrap w:val="0"/>
            <w:vAlign w:val="center"/>
          </w:tcPr>
          <w:p w14:paraId="14FED467">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m³</w:t>
            </w:r>
          </w:p>
        </w:tc>
        <w:tc>
          <w:tcPr>
            <w:tcW w:w="1065" w:type="dxa"/>
            <w:tcBorders>
              <w:top w:val="nil"/>
              <w:left w:val="nil"/>
              <w:bottom w:val="single" w:color="auto" w:sz="4" w:space="0"/>
              <w:right w:val="single" w:color="auto" w:sz="4" w:space="0"/>
            </w:tcBorders>
            <w:noWrap w:val="0"/>
            <w:vAlign w:val="center"/>
          </w:tcPr>
          <w:p w14:paraId="1C18B1A6">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26692</w:t>
            </w:r>
          </w:p>
        </w:tc>
        <w:tc>
          <w:tcPr>
            <w:tcW w:w="1365" w:type="dxa"/>
            <w:tcBorders>
              <w:top w:val="nil"/>
              <w:left w:val="nil"/>
              <w:bottom w:val="single" w:color="auto" w:sz="4" w:space="0"/>
              <w:right w:val="single" w:color="auto" w:sz="4" w:space="0"/>
            </w:tcBorders>
            <w:noWrap w:val="0"/>
            <w:vAlign w:val="center"/>
          </w:tcPr>
          <w:p w14:paraId="2F94B8E0">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p>
        </w:tc>
        <w:tc>
          <w:tcPr>
            <w:tcW w:w="1575" w:type="dxa"/>
            <w:tcBorders>
              <w:top w:val="single" w:color="auto" w:sz="4" w:space="0"/>
              <w:left w:val="single" w:color="auto" w:sz="4" w:space="0"/>
              <w:bottom w:val="single" w:color="auto" w:sz="4" w:space="0"/>
              <w:right w:val="single" w:color="auto" w:sz="4" w:space="0"/>
            </w:tcBorders>
            <w:noWrap w:val="0"/>
            <w:vAlign w:val="center"/>
          </w:tcPr>
          <w:p w14:paraId="71EF4CEC">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zh-CN" w:eastAsia="zh-CN"/>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383DB555">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zh-CN" w:eastAsia="zh-CN"/>
              </w:rPr>
            </w:pPr>
          </w:p>
        </w:tc>
      </w:tr>
      <w:tr w14:paraId="51C6E953">
        <w:tblPrEx>
          <w:tblCellMar>
            <w:top w:w="0" w:type="dxa"/>
            <w:left w:w="108" w:type="dxa"/>
            <w:bottom w:w="0" w:type="dxa"/>
            <w:right w:w="108" w:type="dxa"/>
          </w:tblCellMar>
        </w:tblPrEx>
        <w:trPr>
          <w:trHeight w:val="454" w:hRule="exact"/>
        </w:trPr>
        <w:tc>
          <w:tcPr>
            <w:tcW w:w="560" w:type="dxa"/>
            <w:tcBorders>
              <w:top w:val="single" w:color="auto" w:sz="4" w:space="0"/>
              <w:left w:val="single" w:color="auto" w:sz="4" w:space="0"/>
              <w:bottom w:val="single" w:color="auto" w:sz="4" w:space="0"/>
              <w:right w:val="single" w:color="auto" w:sz="4" w:space="0"/>
            </w:tcBorders>
            <w:noWrap w:val="0"/>
            <w:vAlign w:val="center"/>
          </w:tcPr>
          <w:p w14:paraId="3FA245D4">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5</w:t>
            </w:r>
          </w:p>
        </w:tc>
        <w:tc>
          <w:tcPr>
            <w:tcW w:w="1443" w:type="dxa"/>
            <w:tcBorders>
              <w:top w:val="single" w:color="auto" w:sz="4" w:space="0"/>
              <w:left w:val="single" w:color="auto" w:sz="4" w:space="0"/>
              <w:bottom w:val="single" w:color="auto" w:sz="4" w:space="0"/>
              <w:right w:val="single" w:color="auto" w:sz="4" w:space="0"/>
            </w:tcBorders>
            <w:noWrap w:val="0"/>
            <w:vAlign w:val="center"/>
          </w:tcPr>
          <w:p w14:paraId="3B6AB7F8">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商品混凝土</w:t>
            </w:r>
          </w:p>
        </w:tc>
        <w:tc>
          <w:tcPr>
            <w:tcW w:w="1246" w:type="dxa"/>
            <w:tcBorders>
              <w:top w:val="single" w:color="auto" w:sz="4" w:space="0"/>
              <w:left w:val="nil"/>
              <w:bottom w:val="single" w:color="auto" w:sz="4" w:space="0"/>
              <w:right w:val="single" w:color="auto" w:sz="4" w:space="0"/>
            </w:tcBorders>
            <w:noWrap w:val="0"/>
            <w:vAlign w:val="center"/>
          </w:tcPr>
          <w:p w14:paraId="29CAF706">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C35</w:t>
            </w:r>
          </w:p>
        </w:tc>
        <w:tc>
          <w:tcPr>
            <w:tcW w:w="1065" w:type="dxa"/>
            <w:tcBorders>
              <w:top w:val="nil"/>
              <w:left w:val="nil"/>
              <w:bottom w:val="single" w:color="auto" w:sz="4" w:space="0"/>
              <w:right w:val="single" w:color="auto" w:sz="4" w:space="0"/>
            </w:tcBorders>
            <w:noWrap w:val="0"/>
            <w:vAlign w:val="center"/>
          </w:tcPr>
          <w:p w14:paraId="7DE26DC5">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m³</w:t>
            </w:r>
          </w:p>
        </w:tc>
        <w:tc>
          <w:tcPr>
            <w:tcW w:w="1065" w:type="dxa"/>
            <w:tcBorders>
              <w:top w:val="nil"/>
              <w:left w:val="nil"/>
              <w:bottom w:val="single" w:color="auto" w:sz="4" w:space="0"/>
              <w:right w:val="single" w:color="auto" w:sz="4" w:space="0"/>
            </w:tcBorders>
            <w:noWrap w:val="0"/>
            <w:vAlign w:val="center"/>
          </w:tcPr>
          <w:p w14:paraId="709FF364">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115</w:t>
            </w:r>
          </w:p>
        </w:tc>
        <w:tc>
          <w:tcPr>
            <w:tcW w:w="1365" w:type="dxa"/>
            <w:tcBorders>
              <w:top w:val="nil"/>
              <w:left w:val="nil"/>
              <w:bottom w:val="single" w:color="auto" w:sz="4" w:space="0"/>
              <w:right w:val="single" w:color="auto" w:sz="4" w:space="0"/>
            </w:tcBorders>
            <w:noWrap w:val="0"/>
            <w:vAlign w:val="center"/>
          </w:tcPr>
          <w:p w14:paraId="6DE211C2">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p>
        </w:tc>
        <w:tc>
          <w:tcPr>
            <w:tcW w:w="1575" w:type="dxa"/>
            <w:tcBorders>
              <w:top w:val="single" w:color="auto" w:sz="4" w:space="0"/>
              <w:left w:val="single" w:color="auto" w:sz="4" w:space="0"/>
              <w:bottom w:val="single" w:color="auto" w:sz="4" w:space="0"/>
              <w:right w:val="single" w:color="auto" w:sz="4" w:space="0"/>
            </w:tcBorders>
            <w:noWrap w:val="0"/>
            <w:vAlign w:val="center"/>
          </w:tcPr>
          <w:p w14:paraId="1878C927">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zh-CN" w:eastAsia="zh-CN"/>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39288AB6">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zh-CN" w:eastAsia="zh-CN"/>
              </w:rPr>
            </w:pPr>
          </w:p>
        </w:tc>
      </w:tr>
      <w:tr w14:paraId="05B78039">
        <w:tblPrEx>
          <w:tblCellMar>
            <w:top w:w="0" w:type="dxa"/>
            <w:left w:w="108" w:type="dxa"/>
            <w:bottom w:w="0" w:type="dxa"/>
            <w:right w:w="108" w:type="dxa"/>
          </w:tblCellMar>
        </w:tblPrEx>
        <w:trPr>
          <w:trHeight w:val="454" w:hRule="exact"/>
        </w:trPr>
        <w:tc>
          <w:tcPr>
            <w:tcW w:w="560" w:type="dxa"/>
            <w:tcBorders>
              <w:top w:val="single" w:color="auto" w:sz="4" w:space="0"/>
              <w:left w:val="single" w:color="auto" w:sz="4" w:space="0"/>
              <w:bottom w:val="single" w:color="auto" w:sz="4" w:space="0"/>
              <w:right w:val="single" w:color="auto" w:sz="4" w:space="0"/>
            </w:tcBorders>
            <w:noWrap w:val="0"/>
            <w:vAlign w:val="center"/>
          </w:tcPr>
          <w:p w14:paraId="2C62997F">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6</w:t>
            </w:r>
          </w:p>
        </w:tc>
        <w:tc>
          <w:tcPr>
            <w:tcW w:w="1443" w:type="dxa"/>
            <w:tcBorders>
              <w:top w:val="single" w:color="auto" w:sz="4" w:space="0"/>
              <w:left w:val="single" w:color="auto" w:sz="4" w:space="0"/>
              <w:bottom w:val="single" w:color="auto" w:sz="4" w:space="0"/>
              <w:right w:val="single" w:color="auto" w:sz="4" w:space="0"/>
            </w:tcBorders>
            <w:noWrap w:val="0"/>
            <w:vAlign w:val="center"/>
          </w:tcPr>
          <w:p w14:paraId="4B75E5C1">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商品混凝土</w:t>
            </w:r>
          </w:p>
        </w:tc>
        <w:tc>
          <w:tcPr>
            <w:tcW w:w="1246" w:type="dxa"/>
            <w:tcBorders>
              <w:top w:val="single" w:color="auto" w:sz="4" w:space="0"/>
              <w:left w:val="nil"/>
              <w:bottom w:val="single" w:color="auto" w:sz="4" w:space="0"/>
              <w:right w:val="single" w:color="auto" w:sz="4" w:space="0"/>
            </w:tcBorders>
            <w:noWrap w:val="0"/>
            <w:vAlign w:val="center"/>
          </w:tcPr>
          <w:p w14:paraId="50A214A3">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C40</w:t>
            </w:r>
          </w:p>
        </w:tc>
        <w:tc>
          <w:tcPr>
            <w:tcW w:w="1065" w:type="dxa"/>
            <w:tcBorders>
              <w:top w:val="nil"/>
              <w:left w:val="nil"/>
              <w:bottom w:val="single" w:color="auto" w:sz="4" w:space="0"/>
              <w:right w:val="single" w:color="auto" w:sz="4" w:space="0"/>
            </w:tcBorders>
            <w:noWrap w:val="0"/>
            <w:vAlign w:val="center"/>
          </w:tcPr>
          <w:p w14:paraId="4086D95E">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m³</w:t>
            </w:r>
          </w:p>
        </w:tc>
        <w:tc>
          <w:tcPr>
            <w:tcW w:w="1065" w:type="dxa"/>
            <w:tcBorders>
              <w:top w:val="nil"/>
              <w:left w:val="nil"/>
              <w:bottom w:val="single" w:color="auto" w:sz="4" w:space="0"/>
              <w:right w:val="single" w:color="auto" w:sz="4" w:space="0"/>
            </w:tcBorders>
            <w:noWrap w:val="0"/>
            <w:vAlign w:val="center"/>
          </w:tcPr>
          <w:p w14:paraId="4B254DB9">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102</w:t>
            </w:r>
          </w:p>
        </w:tc>
        <w:tc>
          <w:tcPr>
            <w:tcW w:w="1365" w:type="dxa"/>
            <w:tcBorders>
              <w:top w:val="nil"/>
              <w:left w:val="nil"/>
              <w:bottom w:val="single" w:color="auto" w:sz="4" w:space="0"/>
              <w:right w:val="single" w:color="auto" w:sz="4" w:space="0"/>
            </w:tcBorders>
            <w:noWrap w:val="0"/>
            <w:vAlign w:val="center"/>
          </w:tcPr>
          <w:p w14:paraId="275A9B67">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p>
        </w:tc>
        <w:tc>
          <w:tcPr>
            <w:tcW w:w="1575" w:type="dxa"/>
            <w:tcBorders>
              <w:top w:val="single" w:color="auto" w:sz="4" w:space="0"/>
              <w:left w:val="single" w:color="auto" w:sz="4" w:space="0"/>
              <w:bottom w:val="single" w:color="auto" w:sz="4" w:space="0"/>
              <w:right w:val="single" w:color="auto" w:sz="4" w:space="0"/>
            </w:tcBorders>
            <w:noWrap w:val="0"/>
            <w:vAlign w:val="center"/>
          </w:tcPr>
          <w:p w14:paraId="5BAFEC1F">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zh-CN" w:eastAsia="zh-CN"/>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78FD23B9">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zh-CN" w:eastAsia="zh-CN"/>
              </w:rPr>
            </w:pPr>
          </w:p>
        </w:tc>
      </w:tr>
      <w:tr w14:paraId="7DC98074">
        <w:tblPrEx>
          <w:tblCellMar>
            <w:top w:w="0" w:type="dxa"/>
            <w:left w:w="108" w:type="dxa"/>
            <w:bottom w:w="0" w:type="dxa"/>
            <w:right w:w="108" w:type="dxa"/>
          </w:tblCellMar>
        </w:tblPrEx>
        <w:trPr>
          <w:trHeight w:val="454" w:hRule="exact"/>
        </w:trPr>
        <w:tc>
          <w:tcPr>
            <w:tcW w:w="560" w:type="dxa"/>
            <w:tcBorders>
              <w:top w:val="single" w:color="auto" w:sz="4" w:space="0"/>
              <w:left w:val="single" w:color="auto" w:sz="4" w:space="0"/>
              <w:bottom w:val="single" w:color="auto" w:sz="4" w:space="0"/>
              <w:right w:val="single" w:color="auto" w:sz="4" w:space="0"/>
            </w:tcBorders>
            <w:noWrap w:val="0"/>
            <w:vAlign w:val="center"/>
          </w:tcPr>
          <w:p w14:paraId="4770BA6D">
            <w:pPr>
              <w:keepNext w:val="0"/>
              <w:keepLines w:val="0"/>
              <w:framePr w:wrap="auto" w:vAnchor="margin" w:hAnchor="text" w:yAlign="inline"/>
              <w:widowControl/>
              <w:suppressLineNumbers w:val="0"/>
              <w:jc w:val="center"/>
              <w:textAlignment w:val="center"/>
              <w:rPr>
                <w:rFonts w:hint="default"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7</w:t>
            </w:r>
          </w:p>
        </w:tc>
        <w:tc>
          <w:tcPr>
            <w:tcW w:w="1443" w:type="dxa"/>
            <w:tcBorders>
              <w:top w:val="single" w:color="auto" w:sz="4" w:space="0"/>
              <w:left w:val="single" w:color="auto" w:sz="4" w:space="0"/>
              <w:bottom w:val="single" w:color="auto" w:sz="4" w:space="0"/>
              <w:right w:val="single" w:color="auto" w:sz="4" w:space="0"/>
            </w:tcBorders>
            <w:noWrap w:val="0"/>
            <w:vAlign w:val="center"/>
          </w:tcPr>
          <w:p w14:paraId="18AA57C1">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商品混凝土</w:t>
            </w:r>
          </w:p>
        </w:tc>
        <w:tc>
          <w:tcPr>
            <w:tcW w:w="1246" w:type="dxa"/>
            <w:tcBorders>
              <w:top w:val="single" w:color="auto" w:sz="4" w:space="0"/>
              <w:left w:val="nil"/>
              <w:bottom w:val="single" w:color="auto" w:sz="4" w:space="0"/>
              <w:right w:val="single" w:color="auto" w:sz="4" w:space="0"/>
            </w:tcBorders>
            <w:noWrap w:val="0"/>
            <w:vAlign w:val="center"/>
          </w:tcPr>
          <w:p w14:paraId="53DAFFA0">
            <w:pPr>
              <w:keepNext w:val="0"/>
              <w:keepLines w:val="0"/>
              <w:framePr w:wrap="auto" w:vAnchor="margin" w:hAnchor="text" w:yAlign="inline"/>
              <w:widowControl/>
              <w:suppressLineNumbers w:val="0"/>
              <w:jc w:val="center"/>
              <w:textAlignment w:val="center"/>
              <w:rPr>
                <w:rFonts w:hint="eastAsia" w:ascii="仿宋" w:hAnsi="仿宋" w:eastAsia="仿宋" w:cs="仿宋"/>
                <w:i w:val="0"/>
                <w:color w:val="auto"/>
                <w:kern w:val="0"/>
                <w:sz w:val="24"/>
                <w:szCs w:val="24"/>
                <w:highlight w:val="none"/>
                <w:u w:val="none"/>
                <w:lang w:val="en-US" w:eastAsia="zh-CN" w:bidi="ar"/>
              </w:rPr>
            </w:pPr>
            <w:r>
              <w:rPr>
                <w:rFonts w:hint="eastAsia" w:ascii="仿宋" w:hAnsi="仿宋" w:eastAsia="仿宋" w:cs="仿宋"/>
                <w:i w:val="0"/>
                <w:color w:val="auto"/>
                <w:kern w:val="0"/>
                <w:sz w:val="24"/>
                <w:szCs w:val="24"/>
                <w:highlight w:val="none"/>
                <w:u w:val="none"/>
                <w:lang w:val="en-US" w:eastAsia="zh-CN" w:bidi="ar"/>
              </w:rPr>
              <w:t>C50</w:t>
            </w:r>
          </w:p>
        </w:tc>
        <w:tc>
          <w:tcPr>
            <w:tcW w:w="1065" w:type="dxa"/>
            <w:tcBorders>
              <w:top w:val="nil"/>
              <w:left w:val="nil"/>
              <w:bottom w:val="single" w:color="auto" w:sz="4" w:space="0"/>
              <w:right w:val="single" w:color="auto" w:sz="4" w:space="0"/>
            </w:tcBorders>
            <w:noWrap w:val="0"/>
            <w:vAlign w:val="center"/>
          </w:tcPr>
          <w:p w14:paraId="11E1B837">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m³</w:t>
            </w:r>
          </w:p>
        </w:tc>
        <w:tc>
          <w:tcPr>
            <w:tcW w:w="1065" w:type="dxa"/>
            <w:tcBorders>
              <w:top w:val="nil"/>
              <w:left w:val="nil"/>
              <w:bottom w:val="single" w:color="auto" w:sz="4" w:space="0"/>
              <w:right w:val="single" w:color="auto" w:sz="4" w:space="0"/>
            </w:tcBorders>
            <w:noWrap w:val="0"/>
            <w:vAlign w:val="center"/>
          </w:tcPr>
          <w:p w14:paraId="34B66040">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r>
              <w:rPr>
                <w:rFonts w:hint="eastAsia" w:ascii="仿宋" w:hAnsi="仿宋" w:eastAsia="仿宋" w:cs="仿宋"/>
                <w:i w:val="0"/>
                <w:color w:val="auto"/>
                <w:kern w:val="0"/>
                <w:sz w:val="24"/>
                <w:szCs w:val="24"/>
                <w:highlight w:val="none"/>
                <w:u w:val="none"/>
                <w:lang w:val="en-US" w:eastAsia="zh-CN" w:bidi="ar"/>
              </w:rPr>
              <w:t>325</w:t>
            </w:r>
          </w:p>
        </w:tc>
        <w:tc>
          <w:tcPr>
            <w:tcW w:w="1365" w:type="dxa"/>
            <w:tcBorders>
              <w:top w:val="nil"/>
              <w:left w:val="nil"/>
              <w:bottom w:val="single" w:color="auto" w:sz="4" w:space="0"/>
              <w:right w:val="single" w:color="auto" w:sz="4" w:space="0"/>
            </w:tcBorders>
            <w:noWrap w:val="0"/>
            <w:vAlign w:val="center"/>
          </w:tcPr>
          <w:p w14:paraId="1B9C9DA4">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en-US" w:eastAsia="zh-CN"/>
              </w:rPr>
            </w:pPr>
          </w:p>
        </w:tc>
        <w:tc>
          <w:tcPr>
            <w:tcW w:w="1575" w:type="dxa"/>
            <w:tcBorders>
              <w:top w:val="single" w:color="auto" w:sz="4" w:space="0"/>
              <w:left w:val="single" w:color="auto" w:sz="4" w:space="0"/>
              <w:bottom w:val="single" w:color="auto" w:sz="4" w:space="0"/>
              <w:right w:val="single" w:color="auto" w:sz="4" w:space="0"/>
            </w:tcBorders>
            <w:noWrap w:val="0"/>
            <w:vAlign w:val="center"/>
          </w:tcPr>
          <w:p w14:paraId="34ABFBF8">
            <w:pPr>
              <w:keepNext w:val="0"/>
              <w:keepLines w:val="0"/>
              <w:framePr w:wrap="auto" w:vAnchor="margin" w:hAnchor="text" w:yAlign="inline"/>
              <w:widowControl/>
              <w:suppressLineNumbers w:val="0"/>
              <w:jc w:val="center"/>
              <w:textAlignment w:val="center"/>
              <w:rPr>
                <w:rFonts w:hint="eastAsia" w:ascii="仿宋" w:hAnsi="仿宋" w:eastAsia="仿宋" w:cs="仿宋"/>
                <w:color w:val="auto"/>
                <w:kern w:val="0"/>
                <w:sz w:val="24"/>
                <w:szCs w:val="24"/>
                <w:highlight w:val="none"/>
                <w:shd w:val="clear" w:color="auto" w:fill="auto"/>
                <w:lang w:val="zh-CN" w:eastAsia="zh-CN"/>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483F3106">
            <w:pPr>
              <w:framePr w:wrap="auto" w:vAnchor="margin" w:hAnchor="text" w:yAlign="inline"/>
              <w:widowControl w:val="0"/>
              <w:jc w:val="center"/>
              <w:rPr>
                <w:rFonts w:hint="eastAsia" w:ascii="仿宋" w:hAnsi="仿宋" w:eastAsia="仿宋" w:cs="仿宋"/>
                <w:color w:val="auto"/>
                <w:kern w:val="0"/>
                <w:sz w:val="24"/>
                <w:szCs w:val="24"/>
                <w:highlight w:val="none"/>
                <w:shd w:val="clear" w:color="auto" w:fill="auto"/>
                <w:lang w:val="zh-CN" w:eastAsia="zh-CN"/>
              </w:rPr>
            </w:pPr>
          </w:p>
        </w:tc>
      </w:tr>
      <w:tr w14:paraId="0B8B2F72">
        <w:tblPrEx>
          <w:tblCellMar>
            <w:top w:w="0" w:type="dxa"/>
            <w:left w:w="108" w:type="dxa"/>
            <w:bottom w:w="0" w:type="dxa"/>
            <w:right w:w="108" w:type="dxa"/>
          </w:tblCellMar>
        </w:tblPrEx>
        <w:trPr>
          <w:trHeight w:val="454" w:hRule="exact"/>
        </w:trPr>
        <w:tc>
          <w:tcPr>
            <w:tcW w:w="6744" w:type="dxa"/>
            <w:gridSpan w:val="6"/>
            <w:tcBorders>
              <w:top w:val="single" w:color="auto" w:sz="4" w:space="0"/>
              <w:left w:val="single" w:color="auto" w:sz="4" w:space="0"/>
              <w:bottom w:val="single" w:color="auto" w:sz="4" w:space="0"/>
              <w:right w:val="single" w:color="auto" w:sz="4" w:space="0"/>
            </w:tcBorders>
            <w:noWrap w:val="0"/>
            <w:vAlign w:val="center"/>
          </w:tcPr>
          <w:p w14:paraId="79B992C2">
            <w:pPr>
              <w:keepNext w:val="0"/>
              <w:keepLines w:val="0"/>
              <w:framePr w:wrap="auto" w:vAnchor="margin" w:hAnchor="text" w:yAlign="inline"/>
              <w:widowControl/>
              <w:suppressLineNumbers w:val="0"/>
              <w:jc w:val="center"/>
              <w:textAlignment w:val="center"/>
              <w:rPr>
                <w:rFonts w:hint="default" w:ascii="仿宋" w:hAnsi="仿宋" w:eastAsia="仿宋" w:cs="仿宋"/>
                <w:b/>
                <w:bCs w:val="0"/>
                <w:color w:val="auto"/>
                <w:kern w:val="0"/>
                <w:sz w:val="24"/>
                <w:szCs w:val="24"/>
                <w:highlight w:val="none"/>
                <w:shd w:val="clear" w:color="auto" w:fill="auto"/>
                <w:lang w:val="en-US" w:eastAsia="zh-CN"/>
              </w:rPr>
            </w:pPr>
            <w:r>
              <w:rPr>
                <w:rFonts w:hint="eastAsia" w:ascii="仿宋" w:hAnsi="仿宋" w:eastAsia="仿宋" w:cs="仿宋"/>
                <w:b/>
                <w:i w:val="0"/>
                <w:color w:val="auto"/>
                <w:kern w:val="0"/>
                <w:sz w:val="22"/>
                <w:szCs w:val="22"/>
                <w:highlight w:val="none"/>
                <w:u w:val="none"/>
                <w:lang w:val="en-US" w:eastAsia="zh-CN" w:bidi="ar"/>
              </w:rPr>
              <w:t>不含税金额总价</w:t>
            </w:r>
          </w:p>
        </w:tc>
        <w:tc>
          <w:tcPr>
            <w:tcW w:w="1575" w:type="dxa"/>
            <w:tcBorders>
              <w:top w:val="single" w:color="auto" w:sz="4" w:space="0"/>
              <w:left w:val="single" w:color="auto" w:sz="4" w:space="0"/>
              <w:bottom w:val="single" w:color="auto" w:sz="4" w:space="0"/>
              <w:right w:val="single" w:color="auto" w:sz="4" w:space="0"/>
            </w:tcBorders>
            <w:noWrap w:val="0"/>
            <w:vAlign w:val="center"/>
          </w:tcPr>
          <w:p w14:paraId="7EACCE7C">
            <w:pPr>
              <w:keepNext w:val="0"/>
              <w:keepLines w:val="0"/>
              <w:framePr w:wrap="auto" w:vAnchor="margin" w:hAnchor="text" w:yAlign="inline"/>
              <w:widowControl/>
              <w:suppressLineNumbers w:val="0"/>
              <w:jc w:val="center"/>
              <w:textAlignment w:val="center"/>
              <w:rPr>
                <w:rFonts w:hint="eastAsia" w:ascii="仿宋" w:hAnsi="仿宋" w:eastAsia="仿宋" w:cs="仿宋"/>
                <w:b/>
                <w:bCs w:val="0"/>
                <w:color w:val="auto"/>
                <w:kern w:val="0"/>
                <w:sz w:val="24"/>
                <w:szCs w:val="24"/>
                <w:highlight w:val="none"/>
                <w:shd w:val="clear" w:color="auto" w:fill="auto"/>
                <w:lang w:val="en-US" w:eastAsia="zh-CN" w:bidi="ar-SA"/>
              </w:rPr>
            </w:pPr>
          </w:p>
        </w:tc>
        <w:tc>
          <w:tcPr>
            <w:tcW w:w="1065" w:type="dxa"/>
            <w:tcBorders>
              <w:top w:val="single" w:color="auto" w:sz="4" w:space="0"/>
              <w:left w:val="single" w:color="auto" w:sz="4" w:space="0"/>
              <w:bottom w:val="single" w:color="auto" w:sz="4" w:space="0"/>
              <w:right w:val="single" w:color="auto" w:sz="4" w:space="0"/>
            </w:tcBorders>
            <w:noWrap w:val="0"/>
            <w:vAlign w:val="center"/>
          </w:tcPr>
          <w:p w14:paraId="314B7EF5">
            <w:pPr>
              <w:framePr w:wrap="auto" w:vAnchor="margin" w:hAnchor="text" w:yAlign="inline"/>
              <w:widowControl w:val="0"/>
              <w:jc w:val="center"/>
              <w:rPr>
                <w:rFonts w:hint="eastAsia" w:ascii="仿宋" w:hAnsi="仿宋" w:eastAsia="仿宋" w:cs="仿宋"/>
                <w:color w:val="auto"/>
                <w:kern w:val="2"/>
                <w:sz w:val="24"/>
                <w:szCs w:val="24"/>
                <w:highlight w:val="none"/>
                <w:shd w:val="clear" w:color="auto" w:fill="auto"/>
                <w:lang w:val="zh-CN" w:eastAsia="zh-CN"/>
              </w:rPr>
            </w:pPr>
          </w:p>
        </w:tc>
      </w:tr>
      <w:tr w14:paraId="04D097AB">
        <w:tblPrEx>
          <w:tblCellMar>
            <w:top w:w="0" w:type="dxa"/>
            <w:left w:w="108" w:type="dxa"/>
            <w:bottom w:w="0" w:type="dxa"/>
            <w:right w:w="108" w:type="dxa"/>
          </w:tblCellMar>
        </w:tblPrEx>
        <w:trPr>
          <w:trHeight w:val="454" w:hRule="exact"/>
        </w:trPr>
        <w:tc>
          <w:tcPr>
            <w:tcW w:w="6744" w:type="dxa"/>
            <w:gridSpan w:val="6"/>
            <w:tcBorders>
              <w:top w:val="nil"/>
              <w:left w:val="single" w:color="auto" w:sz="4" w:space="0"/>
              <w:bottom w:val="single" w:color="auto" w:sz="4" w:space="0"/>
              <w:right w:val="single" w:color="auto" w:sz="4" w:space="0"/>
            </w:tcBorders>
            <w:noWrap w:val="0"/>
            <w:vAlign w:val="center"/>
          </w:tcPr>
          <w:p w14:paraId="2B6B1ACB">
            <w:pPr>
              <w:keepNext w:val="0"/>
              <w:keepLines w:val="0"/>
              <w:framePr w:wrap="auto" w:vAnchor="margin" w:hAnchor="text" w:yAlign="inline"/>
              <w:widowControl/>
              <w:suppressLineNumbers w:val="0"/>
              <w:jc w:val="center"/>
              <w:textAlignment w:val="center"/>
              <w:rPr>
                <w:rFonts w:hint="eastAsia" w:ascii="仿宋" w:hAnsi="仿宋" w:eastAsia="仿宋" w:cs="仿宋"/>
                <w:b/>
                <w:bCs w:val="0"/>
                <w:color w:val="auto"/>
                <w:kern w:val="0"/>
                <w:sz w:val="24"/>
                <w:szCs w:val="24"/>
                <w:highlight w:val="none"/>
                <w:shd w:val="clear" w:color="auto" w:fill="auto"/>
                <w:lang w:val="en-US" w:eastAsia="zh-CN"/>
              </w:rPr>
            </w:pPr>
            <w:r>
              <w:rPr>
                <w:rFonts w:hint="eastAsia" w:ascii="仿宋" w:hAnsi="仿宋" w:eastAsia="仿宋" w:cs="仿宋"/>
                <w:b/>
                <w:i w:val="0"/>
                <w:color w:val="auto"/>
                <w:kern w:val="0"/>
                <w:sz w:val="22"/>
                <w:szCs w:val="22"/>
                <w:highlight w:val="none"/>
                <w:u w:val="none"/>
                <w:lang w:val="en-US" w:eastAsia="zh-CN" w:bidi="ar"/>
              </w:rPr>
              <w:t>增值税（</w:t>
            </w:r>
            <w:r>
              <w:rPr>
                <w:rFonts w:hint="eastAsia" w:ascii="仿宋" w:hAnsi="仿宋" w:eastAsia="仿宋" w:cs="仿宋"/>
                <w:b/>
                <w:i w:val="0"/>
                <w:color w:val="auto"/>
                <w:kern w:val="0"/>
                <w:sz w:val="24"/>
                <w:szCs w:val="24"/>
                <w:highlight w:val="none"/>
                <w:u w:val="none"/>
                <w:lang w:val="en-US" w:eastAsia="zh-CN" w:bidi="ar"/>
              </w:rPr>
              <w:t xml:space="preserve">   %）</w:t>
            </w:r>
          </w:p>
        </w:tc>
        <w:tc>
          <w:tcPr>
            <w:tcW w:w="1575" w:type="dxa"/>
            <w:tcBorders>
              <w:top w:val="nil"/>
              <w:left w:val="single" w:color="auto" w:sz="4" w:space="0"/>
              <w:bottom w:val="single" w:color="auto" w:sz="4" w:space="0"/>
              <w:right w:val="single" w:color="auto" w:sz="4" w:space="0"/>
            </w:tcBorders>
            <w:noWrap w:val="0"/>
            <w:vAlign w:val="center"/>
          </w:tcPr>
          <w:p w14:paraId="7D290DF6">
            <w:pPr>
              <w:keepNext w:val="0"/>
              <w:keepLines w:val="0"/>
              <w:framePr w:wrap="auto" w:vAnchor="margin" w:hAnchor="text" w:yAlign="inline"/>
              <w:widowControl/>
              <w:suppressLineNumbers w:val="0"/>
              <w:jc w:val="center"/>
              <w:textAlignment w:val="center"/>
              <w:rPr>
                <w:rFonts w:hint="eastAsia" w:ascii="仿宋" w:hAnsi="仿宋" w:eastAsia="仿宋" w:cs="仿宋"/>
                <w:b/>
                <w:bCs w:val="0"/>
                <w:color w:val="auto"/>
                <w:kern w:val="0"/>
                <w:sz w:val="24"/>
                <w:szCs w:val="24"/>
                <w:highlight w:val="none"/>
                <w:shd w:val="clear" w:color="auto" w:fill="auto"/>
                <w:lang w:val="en-US" w:eastAsia="zh-CN" w:bidi="ar-SA"/>
              </w:rPr>
            </w:pPr>
          </w:p>
        </w:tc>
        <w:tc>
          <w:tcPr>
            <w:tcW w:w="1065" w:type="dxa"/>
            <w:tcBorders>
              <w:top w:val="single" w:color="auto" w:sz="4" w:space="0"/>
              <w:left w:val="nil"/>
              <w:bottom w:val="single" w:color="auto" w:sz="4" w:space="0"/>
              <w:right w:val="single" w:color="auto" w:sz="4" w:space="0"/>
            </w:tcBorders>
            <w:noWrap w:val="0"/>
            <w:vAlign w:val="center"/>
          </w:tcPr>
          <w:p w14:paraId="6540D32E">
            <w:pPr>
              <w:framePr w:wrap="auto" w:vAnchor="margin" w:hAnchor="text" w:yAlign="inline"/>
              <w:widowControl w:val="0"/>
              <w:jc w:val="center"/>
              <w:rPr>
                <w:rFonts w:hint="eastAsia" w:ascii="仿宋" w:hAnsi="仿宋" w:eastAsia="仿宋" w:cs="仿宋"/>
                <w:color w:val="auto"/>
                <w:kern w:val="2"/>
                <w:sz w:val="24"/>
                <w:szCs w:val="24"/>
                <w:highlight w:val="none"/>
                <w:shd w:val="clear" w:color="auto" w:fill="auto"/>
                <w:lang w:val="en-US" w:eastAsia="zh-CN"/>
              </w:rPr>
            </w:pPr>
          </w:p>
        </w:tc>
      </w:tr>
      <w:tr w14:paraId="5D04A340">
        <w:tblPrEx>
          <w:tblCellMar>
            <w:top w:w="0" w:type="dxa"/>
            <w:left w:w="108" w:type="dxa"/>
            <w:bottom w:w="0" w:type="dxa"/>
            <w:right w:w="108" w:type="dxa"/>
          </w:tblCellMar>
        </w:tblPrEx>
        <w:trPr>
          <w:trHeight w:val="454" w:hRule="exact"/>
        </w:trPr>
        <w:tc>
          <w:tcPr>
            <w:tcW w:w="6744" w:type="dxa"/>
            <w:gridSpan w:val="6"/>
            <w:tcBorders>
              <w:top w:val="nil"/>
              <w:left w:val="single" w:color="auto" w:sz="4" w:space="0"/>
              <w:bottom w:val="single" w:color="auto" w:sz="4" w:space="0"/>
              <w:right w:val="single" w:color="auto" w:sz="4" w:space="0"/>
            </w:tcBorders>
            <w:noWrap w:val="0"/>
            <w:vAlign w:val="center"/>
          </w:tcPr>
          <w:p w14:paraId="77A8AF21">
            <w:pPr>
              <w:keepNext w:val="0"/>
              <w:keepLines w:val="0"/>
              <w:framePr w:wrap="auto" w:vAnchor="margin" w:hAnchor="text" w:yAlign="inline"/>
              <w:widowControl/>
              <w:suppressLineNumbers w:val="0"/>
              <w:jc w:val="center"/>
              <w:textAlignment w:val="center"/>
              <w:rPr>
                <w:rFonts w:hint="eastAsia" w:ascii="仿宋" w:hAnsi="仿宋" w:eastAsia="仿宋" w:cs="仿宋"/>
                <w:b/>
                <w:bCs w:val="0"/>
                <w:color w:val="auto"/>
                <w:kern w:val="0"/>
                <w:sz w:val="24"/>
                <w:szCs w:val="24"/>
                <w:highlight w:val="none"/>
                <w:shd w:val="clear" w:color="auto" w:fill="auto"/>
                <w:lang w:val="en-US" w:eastAsia="zh-CN"/>
              </w:rPr>
            </w:pPr>
            <w:r>
              <w:rPr>
                <w:rFonts w:hint="eastAsia" w:ascii="仿宋" w:hAnsi="仿宋" w:eastAsia="仿宋" w:cs="仿宋"/>
                <w:b/>
                <w:i w:val="0"/>
                <w:color w:val="auto"/>
                <w:kern w:val="0"/>
                <w:sz w:val="22"/>
                <w:szCs w:val="22"/>
                <w:highlight w:val="none"/>
                <w:u w:val="none"/>
                <w:lang w:val="en-US" w:eastAsia="zh-CN" w:bidi="ar"/>
              </w:rPr>
              <w:t>含税</w:t>
            </w:r>
            <w:r>
              <w:rPr>
                <w:rFonts w:hint="eastAsia" w:ascii="仿宋" w:hAnsi="仿宋" w:eastAsia="仿宋" w:cs="仿宋"/>
                <w:b/>
                <w:i w:val="0"/>
                <w:color w:val="auto"/>
                <w:kern w:val="0"/>
                <w:sz w:val="24"/>
                <w:szCs w:val="24"/>
                <w:highlight w:val="none"/>
                <w:u w:val="none"/>
                <w:lang w:val="en-US" w:eastAsia="zh-CN" w:bidi="ar"/>
              </w:rPr>
              <w:t>金额总价</w:t>
            </w:r>
          </w:p>
        </w:tc>
        <w:tc>
          <w:tcPr>
            <w:tcW w:w="1575" w:type="dxa"/>
            <w:tcBorders>
              <w:top w:val="nil"/>
              <w:left w:val="single" w:color="auto" w:sz="4" w:space="0"/>
              <w:bottom w:val="single" w:color="auto" w:sz="4" w:space="0"/>
              <w:right w:val="single" w:color="auto" w:sz="4" w:space="0"/>
            </w:tcBorders>
            <w:noWrap w:val="0"/>
            <w:vAlign w:val="center"/>
          </w:tcPr>
          <w:p w14:paraId="01947680">
            <w:pPr>
              <w:keepNext w:val="0"/>
              <w:keepLines w:val="0"/>
              <w:framePr w:wrap="auto" w:vAnchor="margin" w:hAnchor="text" w:yAlign="inline"/>
              <w:widowControl/>
              <w:suppressLineNumbers w:val="0"/>
              <w:jc w:val="center"/>
              <w:textAlignment w:val="center"/>
              <w:rPr>
                <w:rFonts w:hint="eastAsia" w:ascii="仿宋" w:hAnsi="仿宋" w:eastAsia="仿宋" w:cs="仿宋"/>
                <w:b/>
                <w:bCs w:val="0"/>
                <w:color w:val="auto"/>
                <w:kern w:val="0"/>
                <w:sz w:val="24"/>
                <w:szCs w:val="24"/>
                <w:highlight w:val="none"/>
                <w:shd w:val="clear" w:color="auto" w:fill="auto"/>
                <w:lang w:val="en-US" w:eastAsia="zh-CN" w:bidi="ar-SA"/>
              </w:rPr>
            </w:pPr>
          </w:p>
        </w:tc>
        <w:tc>
          <w:tcPr>
            <w:tcW w:w="1065" w:type="dxa"/>
            <w:tcBorders>
              <w:top w:val="single" w:color="auto" w:sz="4" w:space="0"/>
              <w:left w:val="nil"/>
              <w:bottom w:val="single" w:color="auto" w:sz="4" w:space="0"/>
              <w:right w:val="single" w:color="auto" w:sz="4" w:space="0"/>
            </w:tcBorders>
            <w:noWrap w:val="0"/>
            <w:vAlign w:val="center"/>
          </w:tcPr>
          <w:p w14:paraId="6FE2C863">
            <w:pPr>
              <w:framePr w:wrap="auto" w:vAnchor="margin" w:hAnchor="text" w:yAlign="inline"/>
              <w:widowControl w:val="0"/>
              <w:jc w:val="both"/>
              <w:rPr>
                <w:rFonts w:hint="eastAsia" w:ascii="仿宋" w:hAnsi="仿宋" w:eastAsia="仿宋" w:cs="仿宋"/>
                <w:color w:val="auto"/>
                <w:kern w:val="2"/>
                <w:sz w:val="24"/>
                <w:szCs w:val="24"/>
                <w:highlight w:val="none"/>
                <w:shd w:val="clear" w:color="auto" w:fill="auto"/>
                <w:lang w:val="en-US" w:eastAsia="zh-CN"/>
              </w:rPr>
            </w:pPr>
          </w:p>
        </w:tc>
      </w:tr>
    </w:tbl>
    <w:p w14:paraId="1485B8DF">
      <w:pPr>
        <w:framePr w:wrap="auto" w:vAnchor="margin" w:hAnchor="text" w:yAlign="inline"/>
        <w:widowControl w:val="0"/>
        <w:spacing w:before="1" w:line="360" w:lineRule="auto"/>
        <w:ind w:left="0" w:leftChars="0" w:right="-358" w:rightChars="-149" w:firstLine="484" w:firstLineChars="200"/>
        <w:jc w:val="both"/>
        <w:rPr>
          <w:rFonts w:hint="eastAsia" w:ascii="仿宋" w:hAnsi="仿宋" w:eastAsia="仿宋" w:cs="仿宋"/>
          <w:color w:val="auto"/>
          <w:spacing w:val="1"/>
          <w:kern w:val="2"/>
          <w:position w:val="17"/>
          <w:sz w:val="24"/>
          <w:szCs w:val="24"/>
          <w:highlight w:val="none"/>
          <w:lang w:val="en-US" w:eastAsia="zh-CN"/>
        </w:rPr>
      </w:pPr>
      <w:r>
        <w:rPr>
          <w:rFonts w:hint="eastAsia" w:ascii="仿宋" w:hAnsi="仿宋" w:eastAsia="仿宋" w:cs="仿宋"/>
          <w:color w:val="auto"/>
          <w:spacing w:val="1"/>
          <w:kern w:val="2"/>
          <w:position w:val="17"/>
          <w:sz w:val="24"/>
          <w:szCs w:val="24"/>
          <w:highlight w:val="none"/>
          <w:lang w:eastAsia="zh-CN"/>
        </w:rPr>
        <w:t>备注</w:t>
      </w:r>
      <w:r>
        <w:rPr>
          <w:rFonts w:hint="eastAsia" w:ascii="仿宋" w:hAnsi="仿宋" w:eastAsia="仿宋" w:cs="仿宋"/>
          <w:color w:val="auto"/>
          <w:spacing w:val="1"/>
          <w:kern w:val="2"/>
          <w:position w:val="17"/>
          <w:sz w:val="24"/>
          <w:szCs w:val="24"/>
          <w:highlight w:val="none"/>
          <w:lang w:val="en-US" w:eastAsia="zh-CN"/>
        </w:rPr>
        <w:t>:</w:t>
      </w:r>
    </w:p>
    <w:p w14:paraId="0A1E5475">
      <w:pPr>
        <w:framePr w:wrap="auto" w:vAnchor="margin" w:hAnchor="text" w:yAlign="inline"/>
        <w:widowControl w:val="0"/>
        <w:spacing w:line="360" w:lineRule="auto"/>
        <w:ind w:left="0" w:leftChars="0" w:right="-358" w:rightChars="-149" w:firstLine="516" w:firstLineChars="200"/>
        <w:jc w:val="both"/>
        <w:rPr>
          <w:rFonts w:hint="eastAsia" w:ascii="仿宋" w:hAnsi="仿宋" w:eastAsia="仿宋" w:cs="仿宋"/>
          <w:color w:val="auto"/>
          <w:spacing w:val="9"/>
          <w:kern w:val="2"/>
          <w:position w:val="2"/>
          <w:sz w:val="24"/>
          <w:szCs w:val="24"/>
          <w:highlight w:val="none"/>
          <w:lang w:val="en-US" w:eastAsia="zh-CN"/>
        </w:rPr>
      </w:pPr>
      <w:r>
        <w:rPr>
          <w:rFonts w:hint="eastAsia" w:ascii="仿宋" w:hAnsi="仿宋" w:eastAsia="仿宋" w:cs="仿宋"/>
          <w:color w:val="auto"/>
          <w:spacing w:val="9"/>
          <w:kern w:val="2"/>
          <w:position w:val="2"/>
          <w:sz w:val="24"/>
          <w:szCs w:val="24"/>
          <w:highlight w:val="none"/>
          <w:lang w:val="en-US" w:eastAsia="zh-CN"/>
        </w:rPr>
        <w:t>1.坍落度大于180mm的混凝土价格在同等级泵送砼单价增加10元/m3；润泵砂浆按同等级泵送砼单价；(以上增加费单价含3%增值税）</w:t>
      </w:r>
    </w:p>
    <w:p w14:paraId="20F3156C">
      <w:pPr>
        <w:framePr w:wrap="auto" w:vAnchor="margin" w:hAnchor="text" w:yAlign="inline"/>
        <w:widowControl w:val="0"/>
        <w:spacing w:line="360" w:lineRule="auto"/>
        <w:ind w:left="0" w:leftChars="0" w:right="-358" w:rightChars="-149" w:firstLine="516" w:firstLineChars="200"/>
        <w:jc w:val="both"/>
        <w:rPr>
          <w:rFonts w:hint="eastAsia" w:ascii="仿宋" w:hAnsi="仿宋" w:eastAsia="仿宋" w:cs="仿宋"/>
          <w:color w:val="auto"/>
          <w:spacing w:val="9"/>
          <w:kern w:val="2"/>
          <w:position w:val="2"/>
          <w:sz w:val="24"/>
          <w:szCs w:val="24"/>
          <w:highlight w:val="none"/>
          <w:lang w:val="en-US" w:eastAsia="zh-CN"/>
        </w:rPr>
      </w:pPr>
      <w:r>
        <w:rPr>
          <w:rFonts w:hint="eastAsia" w:ascii="仿宋" w:hAnsi="仿宋" w:eastAsia="仿宋" w:cs="仿宋"/>
          <w:color w:val="auto"/>
          <w:spacing w:val="9"/>
          <w:kern w:val="2"/>
          <w:position w:val="2"/>
          <w:sz w:val="24"/>
          <w:szCs w:val="24"/>
          <w:highlight w:val="none"/>
          <w:lang w:val="en-US" w:eastAsia="zh-CN"/>
        </w:rPr>
        <w:t>2.特殊砼每立方米单价增加：在原同等级的价格基础上抗冻F50加50元/m3；抗渗砼W4加8元/m3、P6（S6）加10元/m3、P8（S8）加15元/m3；早强砼（7天）、不掺灰砼、细石砼加15元/m3；3天早强、水下砼加20元/m3；清水砼、掺膨胀剂6%砼加35元/m3、8%砼加40元/m3、10%砼加45元/m3、12%砼加50元/m3；道路按抗折要求加30元/m3。(以上增加费单价含3%增值税）</w:t>
      </w:r>
    </w:p>
    <w:p w14:paraId="3D44D3F5">
      <w:pPr>
        <w:framePr w:wrap="auto" w:vAnchor="margin" w:hAnchor="text" w:yAlign="inline"/>
        <w:widowControl w:val="0"/>
        <w:spacing w:line="360" w:lineRule="auto"/>
        <w:ind w:left="0" w:leftChars="0" w:right="-358" w:rightChars="-149" w:firstLine="516" w:firstLineChars="200"/>
        <w:jc w:val="both"/>
        <w:rPr>
          <w:rFonts w:hint="eastAsia" w:ascii="仿宋" w:hAnsi="仿宋" w:eastAsia="仿宋" w:cs="仿宋"/>
          <w:color w:val="auto"/>
          <w:spacing w:val="9"/>
          <w:kern w:val="2"/>
          <w:position w:val="2"/>
          <w:sz w:val="24"/>
          <w:szCs w:val="24"/>
          <w:highlight w:val="none"/>
          <w:lang w:val="en-US" w:eastAsia="zh-CN"/>
        </w:rPr>
      </w:pPr>
      <w:r>
        <w:rPr>
          <w:rFonts w:hint="eastAsia" w:ascii="仿宋" w:hAnsi="仿宋" w:eastAsia="仿宋" w:cs="仿宋"/>
          <w:color w:val="auto"/>
          <w:spacing w:val="9"/>
          <w:kern w:val="2"/>
          <w:position w:val="2"/>
          <w:sz w:val="24"/>
          <w:szCs w:val="24"/>
          <w:highlight w:val="none"/>
          <w:lang w:val="en-US" w:eastAsia="zh-CN"/>
        </w:rPr>
        <w:t>3.特种混凝土价格另行协商，指定掺加特种材料价格另行协商。</w:t>
      </w:r>
    </w:p>
    <w:p w14:paraId="5CB92143">
      <w:pPr>
        <w:framePr w:wrap="auto" w:vAnchor="margin" w:hAnchor="text" w:yAlign="inline"/>
        <w:widowControl w:val="0"/>
        <w:spacing w:before="1" w:line="360" w:lineRule="auto"/>
        <w:ind w:left="0" w:leftChars="0" w:right="-358" w:rightChars="-149" w:firstLine="512" w:firstLineChars="200"/>
        <w:jc w:val="both"/>
        <w:rPr>
          <w:rFonts w:hint="eastAsia" w:ascii="仿宋" w:hAnsi="仿宋" w:eastAsia="仿宋" w:cs="仿宋"/>
          <w:color w:val="auto"/>
          <w:kern w:val="2"/>
          <w:sz w:val="24"/>
          <w:szCs w:val="24"/>
          <w:highlight w:val="none"/>
          <w:lang w:eastAsia="zh-CN"/>
        </w:rPr>
      </w:pPr>
      <w:r>
        <w:rPr>
          <w:rFonts w:hint="eastAsia" w:ascii="仿宋" w:hAnsi="仿宋" w:eastAsia="仿宋" w:cs="仿宋"/>
          <w:color w:val="auto"/>
          <w:spacing w:val="8"/>
          <w:kern w:val="2"/>
          <w:sz w:val="24"/>
          <w:szCs w:val="24"/>
          <w:highlight w:val="none"/>
          <w:lang w:val="en-US" w:eastAsia="zh-CN"/>
        </w:rPr>
        <w:t>4.</w:t>
      </w:r>
      <w:r>
        <w:rPr>
          <w:rFonts w:hint="eastAsia" w:ascii="仿宋" w:hAnsi="仿宋" w:eastAsia="仿宋" w:cs="仿宋"/>
          <w:color w:val="auto"/>
          <w:spacing w:val="8"/>
          <w:kern w:val="2"/>
          <w:sz w:val="24"/>
          <w:szCs w:val="24"/>
          <w:highlight w:val="none"/>
          <w:lang w:eastAsia="zh-CN"/>
        </w:rPr>
        <w:t>“泵送砼”指用泵机输送且坍落度为13~17</w:t>
      </w:r>
      <w:r>
        <w:rPr>
          <w:rFonts w:hint="eastAsia" w:ascii="仿宋" w:hAnsi="仿宋" w:eastAsia="仿宋" w:cs="仿宋"/>
          <w:color w:val="auto"/>
          <w:kern w:val="2"/>
          <w:sz w:val="24"/>
          <w:szCs w:val="24"/>
          <w:highlight w:val="none"/>
          <w:lang w:eastAsia="zh-CN"/>
        </w:rPr>
        <w:t>cm</w:t>
      </w:r>
      <w:r>
        <w:rPr>
          <w:rFonts w:hint="eastAsia" w:ascii="仿宋" w:hAnsi="仿宋" w:eastAsia="仿宋" w:cs="仿宋"/>
          <w:color w:val="auto"/>
          <w:spacing w:val="8"/>
          <w:kern w:val="2"/>
          <w:sz w:val="24"/>
          <w:szCs w:val="24"/>
          <w:highlight w:val="none"/>
          <w:lang w:eastAsia="zh-CN"/>
        </w:rPr>
        <w:t>的砼(包括塔吊、斗车人卸料及直</w:t>
      </w:r>
      <w:r>
        <w:rPr>
          <w:rFonts w:hint="eastAsia" w:ascii="仿宋" w:hAnsi="仿宋" w:eastAsia="仿宋" w:cs="仿宋"/>
          <w:color w:val="auto"/>
          <w:spacing w:val="7"/>
          <w:kern w:val="2"/>
          <w:sz w:val="24"/>
          <w:szCs w:val="24"/>
          <w:highlight w:val="none"/>
          <w:lang w:eastAsia="zh-CN"/>
        </w:rPr>
        <w:t>接</w:t>
      </w:r>
      <w:r>
        <w:rPr>
          <w:rFonts w:hint="eastAsia" w:ascii="仿宋" w:hAnsi="仿宋" w:eastAsia="仿宋" w:cs="仿宋"/>
          <w:color w:val="auto"/>
          <w:kern w:val="2"/>
          <w:sz w:val="24"/>
          <w:szCs w:val="24"/>
          <w:highlight w:val="none"/>
          <w:lang w:eastAsia="zh-CN"/>
        </w:rPr>
        <w:t xml:space="preserve"> </w:t>
      </w:r>
      <w:r>
        <w:rPr>
          <w:rFonts w:hint="eastAsia" w:ascii="仿宋" w:hAnsi="仿宋" w:eastAsia="仿宋" w:cs="仿宋"/>
          <w:color w:val="auto"/>
          <w:spacing w:val="10"/>
          <w:kern w:val="2"/>
          <w:sz w:val="24"/>
          <w:szCs w:val="24"/>
          <w:highlight w:val="none"/>
          <w:lang w:eastAsia="zh-CN"/>
        </w:rPr>
        <w:t>卸料等</w:t>
      </w:r>
      <w:r>
        <w:rPr>
          <w:rFonts w:hint="eastAsia" w:ascii="仿宋" w:hAnsi="仿宋" w:eastAsia="仿宋" w:cs="仿宋"/>
          <w:color w:val="auto"/>
          <w:spacing w:val="9"/>
          <w:kern w:val="2"/>
          <w:sz w:val="24"/>
          <w:szCs w:val="24"/>
          <w:highlight w:val="none"/>
          <w:lang w:eastAsia="zh-CN"/>
        </w:rPr>
        <w:t>任</w:t>
      </w:r>
      <w:r>
        <w:rPr>
          <w:rFonts w:hint="eastAsia" w:ascii="仿宋" w:hAnsi="仿宋" w:eastAsia="仿宋" w:cs="仿宋"/>
          <w:color w:val="auto"/>
          <w:spacing w:val="5"/>
          <w:kern w:val="2"/>
          <w:sz w:val="24"/>
          <w:szCs w:val="24"/>
          <w:highlight w:val="none"/>
          <w:lang w:eastAsia="zh-CN"/>
        </w:rPr>
        <w:t xml:space="preserve">何施工工艺)“非泵送砼”指非泵机输送且坍落度≦ 12 </w:t>
      </w:r>
      <w:r>
        <w:rPr>
          <w:rFonts w:hint="eastAsia" w:ascii="仿宋" w:hAnsi="仿宋" w:eastAsia="仿宋" w:cs="仿宋"/>
          <w:color w:val="auto"/>
          <w:kern w:val="2"/>
          <w:sz w:val="24"/>
          <w:szCs w:val="24"/>
          <w:highlight w:val="none"/>
          <w:lang w:eastAsia="zh-CN"/>
        </w:rPr>
        <w:t>cm</w:t>
      </w:r>
      <w:r>
        <w:rPr>
          <w:rFonts w:hint="eastAsia" w:ascii="仿宋" w:hAnsi="仿宋" w:eastAsia="仿宋" w:cs="仿宋"/>
          <w:color w:val="auto"/>
          <w:spacing w:val="5"/>
          <w:kern w:val="2"/>
          <w:sz w:val="24"/>
          <w:szCs w:val="24"/>
          <w:highlight w:val="none"/>
          <w:lang w:eastAsia="zh-CN"/>
        </w:rPr>
        <w:t>的砼：坍落度≧18</w:t>
      </w:r>
      <w:r>
        <w:rPr>
          <w:rFonts w:hint="eastAsia" w:ascii="仿宋" w:hAnsi="仿宋" w:eastAsia="仿宋" w:cs="仿宋"/>
          <w:color w:val="auto"/>
          <w:kern w:val="2"/>
          <w:sz w:val="24"/>
          <w:szCs w:val="24"/>
          <w:highlight w:val="none"/>
          <w:lang w:eastAsia="zh-CN"/>
        </w:rPr>
        <w:t xml:space="preserve">cm </w:t>
      </w:r>
      <w:r>
        <w:rPr>
          <w:rFonts w:hint="eastAsia" w:ascii="仿宋" w:hAnsi="仿宋" w:eastAsia="仿宋" w:cs="仿宋"/>
          <w:color w:val="auto"/>
          <w:spacing w:val="6"/>
          <w:kern w:val="2"/>
          <w:sz w:val="24"/>
          <w:szCs w:val="24"/>
          <w:highlight w:val="none"/>
          <w:lang w:eastAsia="zh-CN"/>
        </w:rPr>
        <w:t>的大流</w:t>
      </w:r>
      <w:r>
        <w:rPr>
          <w:rFonts w:hint="eastAsia" w:ascii="仿宋" w:hAnsi="仿宋" w:eastAsia="仿宋" w:cs="仿宋"/>
          <w:color w:val="auto"/>
          <w:spacing w:val="5"/>
          <w:kern w:val="2"/>
          <w:sz w:val="24"/>
          <w:szCs w:val="24"/>
          <w:highlight w:val="none"/>
          <w:lang w:eastAsia="zh-CN"/>
        </w:rPr>
        <w:t>动。</w:t>
      </w:r>
    </w:p>
    <w:p w14:paraId="6728DC24">
      <w:pPr>
        <w:framePr w:wrap="auto" w:vAnchor="margin" w:hAnchor="text" w:yAlign="inline"/>
        <w:widowControl w:val="0"/>
        <w:spacing w:line="360" w:lineRule="auto"/>
        <w:ind w:left="0" w:leftChars="0" w:right="-358" w:rightChars="-149" w:firstLine="516" w:firstLineChars="200"/>
        <w:jc w:val="both"/>
        <w:rPr>
          <w:rFonts w:hint="eastAsia" w:ascii="仿宋" w:hAnsi="仿宋" w:eastAsia="仿宋" w:cs="仿宋"/>
          <w:color w:val="auto"/>
          <w:spacing w:val="9"/>
          <w:kern w:val="2"/>
          <w:position w:val="2"/>
          <w:sz w:val="24"/>
          <w:szCs w:val="24"/>
          <w:highlight w:val="none"/>
          <w:lang w:eastAsia="zh-CN"/>
        </w:rPr>
      </w:pPr>
      <w:r>
        <w:rPr>
          <w:rFonts w:hint="eastAsia" w:ascii="仿宋" w:hAnsi="仿宋" w:eastAsia="仿宋" w:cs="仿宋"/>
          <w:color w:val="auto"/>
          <w:spacing w:val="9"/>
          <w:kern w:val="2"/>
          <w:position w:val="2"/>
          <w:sz w:val="24"/>
          <w:szCs w:val="24"/>
          <w:highlight w:val="none"/>
          <w:lang w:val="en-US" w:eastAsia="zh-CN"/>
        </w:rPr>
        <w:t>5.</w:t>
      </w:r>
      <w:r>
        <w:rPr>
          <w:rFonts w:hint="eastAsia" w:ascii="仿宋" w:hAnsi="仿宋" w:eastAsia="仿宋" w:cs="仿宋"/>
          <w:color w:val="auto"/>
          <w:spacing w:val="9"/>
          <w:kern w:val="2"/>
          <w:position w:val="2"/>
          <w:sz w:val="24"/>
          <w:szCs w:val="24"/>
          <w:highlight w:val="none"/>
          <w:lang w:eastAsia="zh-CN"/>
        </w:rPr>
        <w:t>每载混凝土的塌落度以混凝土到在达施工现场按国家规范即时取样量度为准。</w:t>
      </w:r>
    </w:p>
    <w:p w14:paraId="279CFF9E">
      <w:pPr>
        <w:framePr w:wrap="auto" w:vAnchor="margin" w:hAnchor="text" w:yAlign="inline"/>
        <w:widowControl w:val="0"/>
        <w:spacing w:line="360" w:lineRule="auto"/>
        <w:ind w:left="0" w:leftChars="0" w:right="-358" w:rightChars="-149" w:firstLine="496" w:firstLineChars="200"/>
        <w:jc w:val="both"/>
        <w:rPr>
          <w:rFonts w:hint="eastAsia" w:ascii="仿宋" w:hAnsi="仿宋" w:eastAsia="仿宋" w:cs="仿宋"/>
          <w:color w:val="auto"/>
          <w:kern w:val="2"/>
          <w:sz w:val="24"/>
          <w:szCs w:val="24"/>
          <w:highlight w:val="none"/>
          <w:lang w:eastAsia="zh-CN"/>
        </w:rPr>
      </w:pPr>
      <w:r>
        <w:rPr>
          <w:rFonts w:hint="eastAsia" w:ascii="仿宋" w:hAnsi="仿宋" w:eastAsia="仿宋" w:cs="仿宋"/>
          <w:color w:val="auto"/>
          <w:spacing w:val="4"/>
          <w:kern w:val="2"/>
          <w:sz w:val="24"/>
          <w:szCs w:val="24"/>
          <w:highlight w:val="none"/>
          <w:lang w:val="en-US" w:eastAsia="zh-CN"/>
        </w:rPr>
        <w:t>6.</w:t>
      </w:r>
      <w:r>
        <w:rPr>
          <w:rFonts w:hint="eastAsia" w:ascii="仿宋" w:hAnsi="仿宋" w:eastAsia="仿宋" w:cs="仿宋"/>
          <w:color w:val="auto"/>
          <w:spacing w:val="4"/>
          <w:kern w:val="2"/>
          <w:sz w:val="24"/>
          <w:szCs w:val="24"/>
          <w:highlight w:val="none"/>
          <w:lang w:eastAsia="zh-CN"/>
        </w:rPr>
        <w:t>本单价</w:t>
      </w:r>
      <w:r>
        <w:rPr>
          <w:rFonts w:hint="eastAsia" w:ascii="仿宋" w:hAnsi="仿宋" w:eastAsia="仿宋" w:cs="仿宋"/>
          <w:color w:val="auto"/>
          <w:spacing w:val="2"/>
          <w:kern w:val="2"/>
          <w:sz w:val="24"/>
          <w:szCs w:val="24"/>
          <w:highlight w:val="none"/>
          <w:lang w:eastAsia="zh-CN"/>
        </w:rPr>
        <w:t>不含泵送机械</w:t>
      </w:r>
      <w:r>
        <w:rPr>
          <w:rFonts w:hint="eastAsia" w:ascii="仿宋" w:hAnsi="仿宋" w:eastAsia="仿宋" w:cs="仿宋"/>
          <w:color w:val="auto"/>
          <w:spacing w:val="11"/>
          <w:kern w:val="2"/>
          <w:sz w:val="24"/>
          <w:szCs w:val="24"/>
          <w:highlight w:val="none"/>
          <w:lang w:eastAsia="zh-CN"/>
        </w:rPr>
        <w:t>租</w:t>
      </w:r>
      <w:r>
        <w:rPr>
          <w:rFonts w:hint="eastAsia" w:ascii="仿宋" w:hAnsi="仿宋" w:eastAsia="仿宋" w:cs="仿宋"/>
          <w:color w:val="auto"/>
          <w:spacing w:val="6"/>
          <w:kern w:val="2"/>
          <w:sz w:val="24"/>
          <w:szCs w:val="24"/>
          <w:highlight w:val="none"/>
          <w:lang w:eastAsia="zh-CN"/>
        </w:rPr>
        <w:t>赁费。</w:t>
      </w:r>
    </w:p>
    <w:p w14:paraId="1F35C45A">
      <w:pPr>
        <w:framePr w:wrap="auto" w:vAnchor="margin" w:hAnchor="text" w:yAlign="inline"/>
        <w:widowControl w:val="0"/>
        <w:spacing w:line="360" w:lineRule="auto"/>
        <w:ind w:firstLine="482" w:firstLineChars="200"/>
        <w:jc w:val="both"/>
        <w:rPr>
          <w:rFonts w:ascii="仿宋" w:hAnsi="仿宋" w:eastAsia="仿宋" w:cs="宋体"/>
          <w:b/>
          <w:color w:val="auto"/>
          <w:kern w:val="2"/>
          <w:sz w:val="24"/>
          <w:highlight w:val="none"/>
          <w:lang w:eastAsia="zh-CN"/>
        </w:rPr>
      </w:pPr>
      <w:r>
        <w:rPr>
          <w:rFonts w:hint="eastAsia" w:ascii="仿宋" w:hAnsi="仿宋" w:eastAsia="仿宋" w:cs="宋体"/>
          <w:b/>
          <w:color w:val="auto"/>
          <w:kern w:val="2"/>
          <w:sz w:val="24"/>
          <w:highlight w:val="none"/>
          <w:lang w:eastAsia="zh-CN"/>
        </w:rPr>
        <w:t>二、甲方工程资料</w:t>
      </w:r>
    </w:p>
    <w:p w14:paraId="374C2A69">
      <w:pPr>
        <w:framePr w:wrap="auto" w:vAnchor="margin" w:hAnchor="text" w:yAlign="inline"/>
        <w:widowControl w:val="0"/>
        <w:spacing w:line="360" w:lineRule="auto"/>
        <w:ind w:firstLine="480" w:firstLineChars="200"/>
        <w:jc w:val="both"/>
        <w:rPr>
          <w:rFonts w:hint="default" w:ascii="仿宋" w:hAnsi="仿宋" w:eastAsia="仿宋" w:cs="仿宋"/>
          <w:color w:val="auto"/>
          <w:spacing w:val="9"/>
          <w:kern w:val="2"/>
          <w:sz w:val="23"/>
          <w:szCs w:val="23"/>
          <w:highlight w:val="none"/>
          <w:u w:val="single" w:color="auto"/>
          <w:lang w:val="en-US" w:eastAsia="zh-CN"/>
        </w:rPr>
      </w:pPr>
      <w:r>
        <w:rPr>
          <w:rFonts w:ascii="仿宋" w:hAnsi="仿宋" w:eastAsia="仿宋" w:cs="宋体"/>
          <w:bCs/>
          <w:color w:val="auto"/>
          <w:kern w:val="2"/>
          <w:sz w:val="24"/>
          <w:highlight w:val="none"/>
          <w:lang w:eastAsia="zh-CN"/>
        </w:rPr>
        <w:t>1</w:t>
      </w:r>
      <w:r>
        <w:rPr>
          <w:rFonts w:hint="eastAsia" w:ascii="仿宋" w:hAnsi="仿宋" w:eastAsia="仿宋" w:cs="宋体"/>
          <w:bCs/>
          <w:color w:val="auto"/>
          <w:kern w:val="2"/>
          <w:sz w:val="24"/>
          <w:highlight w:val="none"/>
          <w:lang w:val="en-US" w:eastAsia="zh-CN"/>
        </w:rPr>
        <w:t>.</w:t>
      </w:r>
      <w:r>
        <w:rPr>
          <w:rFonts w:hint="eastAsia" w:ascii="仿宋" w:hAnsi="仿宋" w:eastAsia="仿宋" w:cs="宋体"/>
          <w:bCs/>
          <w:color w:val="auto"/>
          <w:kern w:val="2"/>
          <w:sz w:val="24"/>
          <w:highlight w:val="none"/>
          <w:lang w:eastAsia="zh-CN"/>
        </w:rPr>
        <w:t>工程名称：</w:t>
      </w:r>
      <w:r>
        <w:rPr>
          <w:rFonts w:hint="eastAsia" w:ascii="仿宋" w:hAnsi="仿宋" w:eastAsia="仿宋" w:cs="宋体"/>
          <w:bCs/>
          <w:color w:val="auto"/>
          <w:kern w:val="2"/>
          <w:sz w:val="24"/>
          <w:highlight w:val="none"/>
          <w:u w:val="single"/>
          <w:lang w:val="en-US" w:eastAsia="zh-CN"/>
        </w:rPr>
        <w:t xml:space="preserve">                   </w:t>
      </w:r>
    </w:p>
    <w:p w14:paraId="1D73102D">
      <w:pPr>
        <w:framePr w:wrap="auto" w:vAnchor="margin" w:hAnchor="text" w:yAlign="inline"/>
        <w:widowControl w:val="0"/>
        <w:spacing w:line="360" w:lineRule="auto"/>
        <w:ind w:firstLine="480" w:firstLineChars="200"/>
        <w:jc w:val="both"/>
        <w:rPr>
          <w:rFonts w:hint="default" w:ascii="仿宋" w:hAnsi="仿宋" w:eastAsia="仿宋" w:cs="宋体"/>
          <w:bCs/>
          <w:color w:val="auto"/>
          <w:kern w:val="2"/>
          <w:sz w:val="24"/>
          <w:highlight w:val="none"/>
          <w:u w:val="single"/>
          <w:lang w:val="en-US" w:eastAsia="zh-CN"/>
        </w:rPr>
      </w:pPr>
      <w:r>
        <w:rPr>
          <w:rFonts w:ascii="仿宋" w:hAnsi="仿宋" w:eastAsia="仿宋" w:cs="宋体"/>
          <w:bCs/>
          <w:color w:val="auto"/>
          <w:kern w:val="2"/>
          <w:sz w:val="24"/>
          <w:highlight w:val="none"/>
          <w:lang w:eastAsia="zh-CN"/>
        </w:rPr>
        <w:t>2</w:t>
      </w:r>
      <w:r>
        <w:rPr>
          <w:rFonts w:hint="eastAsia" w:ascii="仿宋" w:hAnsi="仿宋" w:eastAsia="仿宋" w:cs="宋体"/>
          <w:bCs/>
          <w:color w:val="auto"/>
          <w:kern w:val="2"/>
          <w:sz w:val="24"/>
          <w:highlight w:val="none"/>
          <w:lang w:val="en-US" w:eastAsia="zh-CN"/>
        </w:rPr>
        <w:t>.</w:t>
      </w:r>
      <w:r>
        <w:rPr>
          <w:rFonts w:hint="eastAsia" w:ascii="仿宋" w:hAnsi="仿宋" w:eastAsia="仿宋" w:cs="宋体"/>
          <w:bCs/>
          <w:color w:val="auto"/>
          <w:kern w:val="2"/>
          <w:sz w:val="24"/>
          <w:highlight w:val="none"/>
          <w:lang w:eastAsia="zh-CN"/>
        </w:rPr>
        <w:t>工程地址：</w:t>
      </w:r>
      <w:r>
        <w:rPr>
          <w:rFonts w:hint="eastAsia" w:ascii="仿宋" w:hAnsi="仿宋" w:eastAsia="仿宋" w:cs="仿宋"/>
          <w:color w:val="auto"/>
          <w:spacing w:val="8"/>
          <w:kern w:val="2"/>
          <w:sz w:val="23"/>
          <w:szCs w:val="23"/>
          <w:highlight w:val="none"/>
          <w:u w:val="single" w:color="auto"/>
          <w:lang w:val="en-US" w:eastAsia="zh-CN"/>
        </w:rPr>
        <w:t xml:space="preserve">                   </w:t>
      </w:r>
    </w:p>
    <w:p w14:paraId="5AF811F2">
      <w:pPr>
        <w:framePr w:wrap="auto" w:vAnchor="margin" w:hAnchor="text" w:yAlign="inline"/>
        <w:widowControl w:val="0"/>
        <w:spacing w:line="360" w:lineRule="auto"/>
        <w:ind w:firstLine="480" w:firstLineChars="200"/>
        <w:jc w:val="both"/>
        <w:rPr>
          <w:rFonts w:hint="default" w:ascii="仿宋" w:hAnsi="仿宋" w:eastAsia="仿宋" w:cs="宋体"/>
          <w:bCs/>
          <w:color w:val="auto"/>
          <w:kern w:val="2"/>
          <w:sz w:val="24"/>
          <w:highlight w:val="none"/>
          <w:u w:val="single"/>
          <w:lang w:val="en-US" w:eastAsia="zh-CN"/>
        </w:rPr>
      </w:pPr>
      <w:r>
        <w:rPr>
          <w:rFonts w:ascii="仿宋" w:hAnsi="仿宋" w:eastAsia="仿宋" w:cs="宋体"/>
          <w:bCs/>
          <w:color w:val="auto"/>
          <w:kern w:val="2"/>
          <w:sz w:val="24"/>
          <w:highlight w:val="none"/>
          <w:lang w:eastAsia="zh-CN"/>
        </w:rPr>
        <w:t>3</w:t>
      </w:r>
      <w:r>
        <w:rPr>
          <w:rFonts w:hint="eastAsia" w:ascii="仿宋" w:hAnsi="仿宋" w:eastAsia="仿宋" w:cs="宋体"/>
          <w:bCs/>
          <w:color w:val="auto"/>
          <w:kern w:val="2"/>
          <w:sz w:val="24"/>
          <w:highlight w:val="none"/>
          <w:lang w:val="en-US" w:eastAsia="zh-CN"/>
        </w:rPr>
        <w:t>.</w:t>
      </w:r>
      <w:r>
        <w:rPr>
          <w:rFonts w:hint="eastAsia" w:ascii="仿宋" w:hAnsi="仿宋" w:eastAsia="仿宋" w:cs="宋体"/>
          <w:bCs/>
          <w:color w:val="auto"/>
          <w:kern w:val="2"/>
          <w:sz w:val="24"/>
          <w:highlight w:val="none"/>
          <w:lang w:eastAsia="zh-CN"/>
        </w:rPr>
        <w:t>供应数量：</w:t>
      </w:r>
      <w:r>
        <w:rPr>
          <w:rFonts w:hint="eastAsia" w:ascii="仿宋" w:hAnsi="仿宋" w:eastAsia="仿宋" w:cs="宋体"/>
          <w:bCs/>
          <w:color w:val="auto"/>
          <w:kern w:val="2"/>
          <w:sz w:val="24"/>
          <w:highlight w:val="none"/>
          <w:u w:val="single"/>
          <w:lang w:val="en-US" w:eastAsia="zh-CN"/>
        </w:rPr>
        <w:t xml:space="preserve">                      </w:t>
      </w:r>
    </w:p>
    <w:p w14:paraId="1F06F3A6">
      <w:pPr>
        <w:framePr w:wrap="auto" w:vAnchor="margin" w:hAnchor="text" w:yAlign="inline"/>
        <w:widowControl w:val="0"/>
        <w:adjustRightInd w:val="0"/>
        <w:snapToGrid w:val="0"/>
        <w:spacing w:line="360" w:lineRule="auto"/>
        <w:ind w:firstLine="480" w:firstLineChars="200"/>
        <w:jc w:val="both"/>
        <w:rPr>
          <w:rFonts w:ascii="仿宋" w:hAnsi="仿宋" w:eastAsia="仿宋" w:cs="Times New Roman"/>
          <w:color w:val="auto"/>
          <w:kern w:val="2"/>
          <w:sz w:val="24"/>
          <w:highlight w:val="none"/>
          <w:lang w:eastAsia="zh-CN"/>
        </w:rPr>
      </w:pPr>
      <w:r>
        <w:rPr>
          <w:rFonts w:ascii="仿宋" w:hAnsi="仿宋" w:eastAsia="仿宋" w:cs="宋体"/>
          <w:bCs/>
          <w:color w:val="auto"/>
          <w:kern w:val="2"/>
          <w:sz w:val="24"/>
          <w:highlight w:val="none"/>
          <w:lang w:eastAsia="zh-CN"/>
        </w:rPr>
        <w:t>4</w:t>
      </w:r>
      <w:r>
        <w:rPr>
          <w:rFonts w:hint="eastAsia" w:ascii="仿宋" w:hAnsi="仿宋" w:eastAsia="仿宋" w:cs="宋体"/>
          <w:bCs/>
          <w:color w:val="auto"/>
          <w:kern w:val="2"/>
          <w:sz w:val="24"/>
          <w:highlight w:val="none"/>
          <w:lang w:val="en-US" w:eastAsia="zh-CN"/>
        </w:rPr>
        <w:t>.</w:t>
      </w:r>
      <w:r>
        <w:rPr>
          <w:rFonts w:hint="eastAsia" w:ascii="仿宋" w:hAnsi="仿宋" w:eastAsia="仿宋" w:cs="宋体"/>
          <w:bCs/>
          <w:color w:val="auto"/>
          <w:kern w:val="2"/>
          <w:sz w:val="24"/>
          <w:highlight w:val="none"/>
          <w:lang w:eastAsia="zh-CN"/>
        </w:rPr>
        <w:t>供应暂定金额</w:t>
      </w:r>
      <w:r>
        <w:rPr>
          <w:rFonts w:hint="eastAsia" w:ascii="仿宋" w:hAnsi="仿宋" w:eastAsia="仿宋" w:cs="宋体"/>
          <w:bCs/>
          <w:color w:val="auto"/>
          <w:kern w:val="2"/>
          <w:sz w:val="24"/>
          <w:highlight w:val="none"/>
          <w:lang w:val="en-US" w:eastAsia="zh-CN"/>
        </w:rPr>
        <w:t>含税</w:t>
      </w:r>
      <w:r>
        <w:rPr>
          <w:rFonts w:hint="eastAsia" w:ascii="仿宋" w:hAnsi="仿宋" w:eastAsia="仿宋" w:cs="Times New Roman"/>
          <w:color w:val="auto"/>
          <w:kern w:val="2"/>
          <w:sz w:val="24"/>
          <w:highlight w:val="none"/>
          <w:lang w:eastAsia="zh-CN"/>
        </w:rPr>
        <w:t>总价为人民币</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元（大写：</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），其中不含增值税总价</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元（大写：</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），增值税</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元（大写：</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），增值税按不含增值税总价的</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lang w:eastAsia="zh-CN"/>
        </w:rPr>
        <w:t>单列</w:t>
      </w:r>
      <w:r>
        <w:rPr>
          <w:rFonts w:hint="eastAsia" w:ascii="仿宋" w:hAnsi="仿宋" w:eastAsia="仿宋" w:cs="宋体"/>
          <w:b w:val="0"/>
          <w:bCs/>
          <w:color w:val="auto"/>
          <w:kern w:val="2"/>
          <w:sz w:val="24"/>
          <w:highlight w:val="none"/>
          <w:lang w:eastAsia="zh-CN"/>
        </w:rPr>
        <w:t>（增值税税率随国家政策和适用税率同步调整）</w:t>
      </w:r>
      <w:r>
        <w:rPr>
          <w:rFonts w:hint="eastAsia" w:ascii="仿宋" w:hAnsi="仿宋" w:eastAsia="仿宋" w:cs="Times New Roman"/>
          <w:color w:val="auto"/>
          <w:kern w:val="2"/>
          <w:sz w:val="24"/>
          <w:highlight w:val="none"/>
          <w:lang w:eastAsia="zh-CN"/>
        </w:rPr>
        <w:t>；本合同暂定总价不作为双方最终结算的依据。结算</w:t>
      </w:r>
      <w:r>
        <w:rPr>
          <w:rFonts w:hint="eastAsia" w:ascii="仿宋" w:hAnsi="仿宋" w:eastAsia="仿宋" w:cs="Times New Roman"/>
          <w:color w:val="auto"/>
          <w:kern w:val="2"/>
          <w:sz w:val="24"/>
          <w:highlight w:val="none"/>
          <w:lang w:val="en-US" w:eastAsia="zh-CN"/>
        </w:rPr>
        <w:t>供货量</w:t>
      </w:r>
      <w:r>
        <w:rPr>
          <w:rFonts w:hint="eastAsia" w:ascii="仿宋" w:hAnsi="仿宋" w:eastAsia="仿宋" w:cs="Times New Roman"/>
          <w:color w:val="auto"/>
          <w:kern w:val="2"/>
          <w:sz w:val="24"/>
          <w:highlight w:val="none"/>
          <w:lang w:eastAsia="zh-CN"/>
        </w:rPr>
        <w:t>按实际发生的每月得到甲方签认计量的</w:t>
      </w:r>
      <w:r>
        <w:rPr>
          <w:rFonts w:hint="eastAsia" w:ascii="仿宋" w:hAnsi="仿宋" w:eastAsia="仿宋" w:cs="Times New Roman"/>
          <w:color w:val="auto"/>
          <w:kern w:val="2"/>
          <w:sz w:val="24"/>
          <w:highlight w:val="none"/>
          <w:lang w:val="en-US" w:eastAsia="zh-CN"/>
        </w:rPr>
        <w:t>供货量</w:t>
      </w:r>
      <w:r>
        <w:rPr>
          <w:rFonts w:hint="eastAsia" w:ascii="仿宋" w:hAnsi="仿宋" w:eastAsia="仿宋" w:cs="Times New Roman"/>
          <w:color w:val="auto"/>
          <w:kern w:val="2"/>
          <w:sz w:val="24"/>
          <w:highlight w:val="none"/>
          <w:lang w:eastAsia="zh-CN"/>
        </w:rPr>
        <w:t>为准，材料验收合格后由双方验收人员在送货单、材料签收单</w:t>
      </w:r>
      <w:r>
        <w:rPr>
          <w:rFonts w:hint="eastAsia" w:ascii="仿宋" w:hAnsi="仿宋" w:eastAsia="仿宋" w:cs="Times New Roman"/>
          <w:color w:val="auto"/>
          <w:kern w:val="2"/>
          <w:sz w:val="24"/>
          <w:highlight w:val="none"/>
          <w:lang w:val="en-US" w:eastAsia="zh-CN"/>
        </w:rPr>
        <w:t>上</w:t>
      </w:r>
      <w:r>
        <w:rPr>
          <w:rFonts w:hint="eastAsia" w:ascii="仿宋" w:hAnsi="仿宋" w:eastAsia="仿宋" w:cs="Times New Roman"/>
          <w:color w:val="auto"/>
          <w:kern w:val="2"/>
          <w:sz w:val="24"/>
          <w:highlight w:val="none"/>
          <w:lang w:eastAsia="zh-CN"/>
        </w:rPr>
        <w:t>签字。每月材料对账根据甲乙双方材料验收人员签字的单据</w:t>
      </w:r>
      <w:r>
        <w:rPr>
          <w:rFonts w:hint="eastAsia" w:ascii="仿宋" w:hAnsi="仿宋" w:eastAsia="仿宋" w:cs="Times New Roman"/>
          <w:color w:val="auto"/>
          <w:kern w:val="2"/>
          <w:sz w:val="24"/>
          <w:highlight w:val="none"/>
          <w:lang w:val="en-US" w:eastAsia="zh-CN"/>
        </w:rPr>
        <w:t>径</w:t>
      </w:r>
      <w:r>
        <w:rPr>
          <w:rFonts w:hint="eastAsia" w:ascii="仿宋" w:hAnsi="仿宋" w:eastAsia="仿宋" w:cs="Times New Roman"/>
          <w:color w:val="auto"/>
          <w:kern w:val="2"/>
          <w:sz w:val="24"/>
          <w:highlight w:val="none"/>
          <w:lang w:eastAsia="zh-CN"/>
        </w:rPr>
        <w:t>行汇总，对账汇总表甲乙双方必须加盖公章及签名确认，甲方公章为项目</w:t>
      </w:r>
      <w:r>
        <w:rPr>
          <w:rFonts w:hint="eastAsia" w:ascii="仿宋" w:hAnsi="仿宋" w:eastAsia="仿宋" w:cs="Times New Roman"/>
          <w:color w:val="auto"/>
          <w:kern w:val="2"/>
          <w:sz w:val="24"/>
          <w:highlight w:val="none"/>
          <w:lang w:val="en-US" w:eastAsia="zh-CN"/>
        </w:rPr>
        <w:t>部</w:t>
      </w:r>
      <w:r>
        <w:rPr>
          <w:rFonts w:hint="eastAsia" w:ascii="仿宋" w:hAnsi="仿宋" w:eastAsia="仿宋" w:cs="Times New Roman"/>
          <w:color w:val="auto"/>
          <w:kern w:val="2"/>
          <w:sz w:val="24"/>
          <w:highlight w:val="none"/>
          <w:lang w:eastAsia="zh-CN"/>
        </w:rPr>
        <w:t>公章，签名确认为项目经理。最终结算以双方签名加盖公章的汇总表为准。</w:t>
      </w:r>
    </w:p>
    <w:p w14:paraId="4871CD6C">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本合同不含增值税总价包含了除增值税以外的一切税费［包括但不限于为实施本合同应缴纳的企业所得税、个人所得税、印花税、资源税、城市维护建设税、教育费附加、地方教育附加、堤围防护费等）。</w:t>
      </w:r>
    </w:p>
    <w:p w14:paraId="4BC389CD">
      <w:pPr>
        <w:widowControl w:val="0"/>
        <w:spacing w:after="120" w:line="360" w:lineRule="auto"/>
        <w:jc w:val="both"/>
        <w:rPr>
          <w:rFonts w:hint="default" w:ascii="仿宋" w:hAnsi="仿宋" w:eastAsia="仿宋" w:cs="Times New Roman"/>
          <w:color w:val="auto"/>
          <w:kern w:val="2"/>
          <w:sz w:val="24"/>
          <w:szCs w:val="24"/>
          <w:highlight w:val="none"/>
          <w:lang w:val="en-US" w:eastAsia="zh-CN" w:bidi="ar-SA"/>
        </w:rPr>
      </w:pPr>
      <w:r>
        <w:rPr>
          <w:rFonts w:hint="eastAsia" w:ascii="仿宋" w:hAnsi="仿宋" w:eastAsia="仿宋" w:cs="Times New Roman"/>
          <w:color w:val="auto"/>
          <w:kern w:val="2"/>
          <w:sz w:val="24"/>
          <w:szCs w:val="24"/>
          <w:highlight w:val="none"/>
          <w:lang w:val="en-US" w:eastAsia="zh-CN" w:bidi="ar-SA"/>
        </w:rPr>
        <w:t xml:space="preserve">   5.当实际供应数量超过合同数量的</w:t>
      </w:r>
      <w:r>
        <w:rPr>
          <w:rFonts w:hint="eastAsia" w:ascii="仿宋" w:hAnsi="仿宋" w:eastAsia="仿宋" w:cs="Times New Roman"/>
          <w:b/>
          <w:bCs/>
          <w:color w:val="auto"/>
          <w:kern w:val="2"/>
          <w:sz w:val="24"/>
          <w:szCs w:val="24"/>
          <w:highlight w:val="none"/>
          <w:lang w:val="en-US" w:eastAsia="zh-CN" w:bidi="ar-SA"/>
        </w:rPr>
        <w:t xml:space="preserve">   </w:t>
      </w:r>
      <w:r>
        <w:rPr>
          <w:rFonts w:hint="eastAsia" w:ascii="仿宋" w:hAnsi="仿宋" w:eastAsia="仿宋" w:cs="Times New Roman"/>
          <w:color w:val="auto"/>
          <w:kern w:val="2"/>
          <w:sz w:val="24"/>
          <w:szCs w:val="24"/>
          <w:highlight w:val="none"/>
          <w:lang w:val="en-US" w:eastAsia="zh-CN" w:bidi="ar-SA"/>
        </w:rPr>
        <w:t>时，需要签订补充协议，否则送货单、材料签收单、对账汇总表、结算单等相关资料签认无效。</w:t>
      </w:r>
    </w:p>
    <w:p w14:paraId="1183B01D">
      <w:pPr>
        <w:framePr w:wrap="auto" w:vAnchor="margin" w:hAnchor="text" w:yAlign="inline"/>
        <w:widowControl w:val="0"/>
        <w:spacing w:line="360" w:lineRule="auto"/>
        <w:ind w:firstLine="482" w:firstLineChars="200"/>
        <w:jc w:val="both"/>
        <w:rPr>
          <w:rFonts w:ascii="仿宋" w:hAnsi="仿宋" w:eastAsia="仿宋" w:cs="宋体"/>
          <w:bCs/>
          <w:color w:val="auto"/>
          <w:kern w:val="2"/>
          <w:sz w:val="24"/>
          <w:highlight w:val="none"/>
          <w:lang w:eastAsia="zh-CN"/>
        </w:rPr>
      </w:pPr>
      <w:r>
        <w:rPr>
          <w:rFonts w:hint="eastAsia" w:ascii="仿宋" w:hAnsi="仿宋" w:eastAsia="仿宋" w:cs="宋体"/>
          <w:b/>
          <w:color w:val="auto"/>
          <w:kern w:val="2"/>
          <w:sz w:val="24"/>
          <w:highlight w:val="none"/>
          <w:lang w:eastAsia="zh-CN"/>
        </w:rPr>
        <w:t>三、乙方责任</w:t>
      </w:r>
    </w:p>
    <w:p w14:paraId="5926C8D8">
      <w:pPr>
        <w:framePr w:wrap="auto" w:vAnchor="margin" w:hAnchor="text" w:yAlign="inline"/>
        <w:widowControl w:val="0"/>
        <w:spacing w:line="360" w:lineRule="auto"/>
        <w:ind w:firstLine="480" w:firstLineChars="200"/>
        <w:jc w:val="both"/>
        <w:rPr>
          <w:rFonts w:ascii="仿宋" w:hAnsi="仿宋" w:eastAsia="仿宋" w:cs="宋体"/>
          <w:bCs/>
          <w:color w:val="auto"/>
          <w:kern w:val="2"/>
          <w:sz w:val="24"/>
          <w:highlight w:val="none"/>
          <w:lang w:eastAsia="zh-CN"/>
        </w:rPr>
      </w:pPr>
      <w:r>
        <w:rPr>
          <w:rFonts w:ascii="仿宋" w:hAnsi="仿宋" w:eastAsia="仿宋" w:cs="宋体"/>
          <w:bCs/>
          <w:color w:val="auto"/>
          <w:kern w:val="2"/>
          <w:sz w:val="24"/>
          <w:highlight w:val="none"/>
          <w:lang w:eastAsia="zh-CN"/>
        </w:rPr>
        <w:t>1</w:t>
      </w:r>
      <w:r>
        <w:rPr>
          <w:rFonts w:hint="eastAsia" w:ascii="仿宋" w:hAnsi="仿宋" w:eastAsia="仿宋" w:cs="宋体"/>
          <w:bCs/>
          <w:color w:val="auto"/>
          <w:kern w:val="2"/>
          <w:sz w:val="24"/>
          <w:highlight w:val="none"/>
          <w:lang w:val="en-US" w:eastAsia="zh-CN"/>
        </w:rPr>
        <w:t>.</w:t>
      </w:r>
      <w:r>
        <w:rPr>
          <w:rFonts w:hint="eastAsia" w:ascii="仿宋" w:hAnsi="仿宋" w:eastAsia="仿宋" w:cs="宋体"/>
          <w:bCs/>
          <w:color w:val="auto"/>
          <w:kern w:val="2"/>
          <w:sz w:val="24"/>
          <w:highlight w:val="none"/>
          <w:lang w:eastAsia="zh-CN"/>
        </w:rPr>
        <w:t>按甲方《用料计划》（电话、传真方式）通知时间和供货数量等要求按时送料到工地现场；因不可抗力因素无法供货，乙方应提前</w:t>
      </w:r>
      <w:r>
        <w:rPr>
          <w:rFonts w:ascii="仿宋" w:hAnsi="仿宋" w:eastAsia="仿宋" w:cs="宋体"/>
          <w:bCs/>
          <w:color w:val="auto"/>
          <w:kern w:val="2"/>
          <w:sz w:val="24"/>
          <w:highlight w:val="none"/>
          <w:lang w:eastAsia="zh-CN"/>
        </w:rPr>
        <w:t>6</w:t>
      </w:r>
      <w:r>
        <w:rPr>
          <w:rFonts w:hint="eastAsia" w:ascii="仿宋" w:hAnsi="仿宋" w:eastAsia="仿宋" w:cs="宋体"/>
          <w:bCs/>
          <w:color w:val="auto"/>
          <w:kern w:val="2"/>
          <w:sz w:val="24"/>
          <w:highlight w:val="none"/>
          <w:lang w:eastAsia="zh-CN"/>
        </w:rPr>
        <w:t>小时通告甲方。乙方供货必须确保供货时间准时、及时，因供料中断而导致泵车、人工窝工及影响施工质量（泵车、人工窝工台班按现场实际确认），应赔偿甲方因此而造成的经济损失。因乙方原因，未能按甲方项目部施工时间、需求等供货的，乙方应承担造成质量事故的一切责任和误工所增加的全部费用，且甲方有权更换供货商，乙方必须无条件配合。</w:t>
      </w:r>
    </w:p>
    <w:p w14:paraId="6665ACA8">
      <w:pPr>
        <w:framePr w:wrap="auto" w:vAnchor="margin" w:hAnchor="text" w:yAlign="inline"/>
        <w:widowControl w:val="0"/>
        <w:spacing w:line="360" w:lineRule="auto"/>
        <w:ind w:firstLine="480" w:firstLineChars="200"/>
        <w:jc w:val="both"/>
        <w:rPr>
          <w:rFonts w:ascii="仿宋" w:hAnsi="仿宋" w:eastAsia="仿宋" w:cs="宋体"/>
          <w:bCs/>
          <w:color w:val="auto"/>
          <w:kern w:val="2"/>
          <w:sz w:val="24"/>
          <w:highlight w:val="none"/>
          <w:lang w:eastAsia="zh-CN"/>
        </w:rPr>
      </w:pPr>
      <w:r>
        <w:rPr>
          <w:rFonts w:ascii="仿宋" w:hAnsi="仿宋" w:eastAsia="仿宋" w:cs="宋体"/>
          <w:bCs/>
          <w:color w:val="auto"/>
          <w:kern w:val="2"/>
          <w:sz w:val="24"/>
          <w:highlight w:val="none"/>
          <w:lang w:eastAsia="zh-CN"/>
        </w:rPr>
        <w:t>2</w:t>
      </w:r>
      <w:r>
        <w:rPr>
          <w:rFonts w:hint="eastAsia" w:ascii="仿宋" w:hAnsi="仿宋" w:eastAsia="仿宋" w:cs="宋体"/>
          <w:bCs/>
          <w:color w:val="auto"/>
          <w:kern w:val="2"/>
          <w:sz w:val="24"/>
          <w:highlight w:val="none"/>
          <w:lang w:val="en-US" w:eastAsia="zh-CN"/>
        </w:rPr>
        <w:t>.</w:t>
      </w:r>
      <w:r>
        <w:rPr>
          <w:rFonts w:hint="eastAsia" w:ascii="仿宋" w:hAnsi="仿宋" w:eastAsia="仿宋" w:cs="宋体"/>
          <w:bCs/>
          <w:color w:val="auto"/>
          <w:kern w:val="2"/>
          <w:sz w:val="24"/>
          <w:highlight w:val="none"/>
          <w:lang w:eastAsia="zh-CN"/>
        </w:rPr>
        <w:t>送料车到现场后必须听从甲方施工人员的指挥，因司机违反工地指挥而引致的安全责任、机械材料损坏、成品半成品破坏等相关责任由乙方负责。</w:t>
      </w:r>
    </w:p>
    <w:p w14:paraId="1A3F0F8B">
      <w:pPr>
        <w:framePr w:wrap="auto" w:vAnchor="margin" w:hAnchor="text" w:yAlign="inline"/>
        <w:widowControl w:val="0"/>
        <w:spacing w:line="360" w:lineRule="auto"/>
        <w:ind w:firstLine="480" w:firstLineChars="200"/>
        <w:jc w:val="both"/>
        <w:rPr>
          <w:rFonts w:ascii="仿宋" w:hAnsi="仿宋" w:eastAsia="仿宋" w:cs="宋体"/>
          <w:bCs/>
          <w:color w:val="auto"/>
          <w:kern w:val="2"/>
          <w:sz w:val="24"/>
          <w:highlight w:val="none"/>
          <w:lang w:eastAsia="zh-CN"/>
        </w:rPr>
      </w:pPr>
      <w:r>
        <w:rPr>
          <w:rFonts w:ascii="仿宋" w:hAnsi="仿宋" w:eastAsia="仿宋" w:cs="宋体"/>
          <w:bCs/>
          <w:color w:val="auto"/>
          <w:kern w:val="2"/>
          <w:sz w:val="24"/>
          <w:highlight w:val="none"/>
          <w:lang w:eastAsia="zh-CN"/>
        </w:rPr>
        <w:t>3</w:t>
      </w:r>
      <w:r>
        <w:rPr>
          <w:rFonts w:hint="eastAsia" w:ascii="仿宋" w:hAnsi="仿宋" w:eastAsia="仿宋" w:cs="宋体"/>
          <w:bCs/>
          <w:color w:val="auto"/>
          <w:kern w:val="2"/>
          <w:sz w:val="24"/>
          <w:highlight w:val="none"/>
          <w:lang w:val="en-US" w:eastAsia="zh-CN"/>
        </w:rPr>
        <w:t>.</w:t>
      </w:r>
      <w:r>
        <w:rPr>
          <w:rFonts w:hint="eastAsia" w:ascii="仿宋" w:hAnsi="仿宋" w:eastAsia="仿宋" w:cs="宋体"/>
          <w:bCs/>
          <w:color w:val="auto"/>
          <w:kern w:val="2"/>
          <w:sz w:val="24"/>
          <w:highlight w:val="none"/>
          <w:lang w:eastAsia="zh-CN"/>
        </w:rPr>
        <w:t>乙方应按甲方要求准确无误地送料到甲方工地，乙方质量保证限于现场取样。甲方应按每批混凝土浇灌部位核对供货方送货单。因乙方送错混凝土或混凝土本身质量问题造成的工程质量事故而引起的经济损失由乙方负责。</w:t>
      </w:r>
    </w:p>
    <w:p w14:paraId="47698E04">
      <w:pPr>
        <w:framePr w:wrap="auto" w:vAnchor="margin" w:hAnchor="text" w:yAlign="inline"/>
        <w:widowControl w:val="0"/>
        <w:spacing w:line="360" w:lineRule="auto"/>
        <w:ind w:firstLine="480" w:firstLineChars="200"/>
        <w:jc w:val="both"/>
        <w:rPr>
          <w:rFonts w:ascii="仿宋" w:hAnsi="仿宋" w:eastAsia="仿宋" w:cs="宋体"/>
          <w:bCs/>
          <w:color w:val="auto"/>
          <w:kern w:val="2"/>
          <w:sz w:val="24"/>
          <w:highlight w:val="none"/>
          <w:lang w:eastAsia="zh-CN"/>
        </w:rPr>
      </w:pPr>
      <w:r>
        <w:rPr>
          <w:rFonts w:ascii="仿宋" w:hAnsi="仿宋" w:eastAsia="仿宋" w:cs="宋体"/>
          <w:bCs/>
          <w:color w:val="auto"/>
          <w:kern w:val="2"/>
          <w:sz w:val="24"/>
          <w:highlight w:val="none"/>
          <w:lang w:eastAsia="zh-CN"/>
        </w:rPr>
        <w:t>4</w:t>
      </w:r>
      <w:r>
        <w:rPr>
          <w:rFonts w:hint="eastAsia" w:ascii="仿宋" w:hAnsi="仿宋" w:eastAsia="仿宋" w:cs="宋体"/>
          <w:bCs/>
          <w:color w:val="auto"/>
          <w:kern w:val="2"/>
          <w:sz w:val="24"/>
          <w:highlight w:val="none"/>
          <w:lang w:val="en-US" w:eastAsia="zh-CN"/>
        </w:rPr>
        <w:t>.</w:t>
      </w:r>
      <w:r>
        <w:rPr>
          <w:rFonts w:hint="eastAsia" w:ascii="仿宋" w:hAnsi="仿宋" w:eastAsia="仿宋" w:cs="宋体"/>
          <w:bCs/>
          <w:color w:val="auto"/>
          <w:kern w:val="2"/>
          <w:sz w:val="24"/>
          <w:highlight w:val="none"/>
          <w:lang w:eastAsia="zh-CN"/>
        </w:rPr>
        <w:t>为确保工程质量情况，当甲方按《混凝土结构工程施工及验收规范》（</w:t>
      </w:r>
      <w:r>
        <w:rPr>
          <w:rFonts w:ascii="仿宋" w:hAnsi="仿宋" w:eastAsia="仿宋" w:cs="宋体"/>
          <w:bCs/>
          <w:color w:val="auto"/>
          <w:kern w:val="2"/>
          <w:sz w:val="24"/>
          <w:highlight w:val="none"/>
          <w:lang w:eastAsia="zh-CN"/>
        </w:rPr>
        <w:t>GB50204-2015</w:t>
      </w:r>
      <w:r>
        <w:rPr>
          <w:rFonts w:hint="eastAsia" w:ascii="仿宋" w:hAnsi="仿宋" w:eastAsia="仿宋" w:cs="宋体"/>
          <w:bCs/>
          <w:color w:val="auto"/>
          <w:kern w:val="2"/>
          <w:sz w:val="24"/>
          <w:highlight w:val="none"/>
          <w:lang w:eastAsia="zh-CN"/>
        </w:rPr>
        <w:t>）的规定进行施工和养护后，乙方需提供相关技术支持，确保结构物不出现开裂情况。现约定如下：</w:t>
      </w:r>
    </w:p>
    <w:p w14:paraId="38B3517F">
      <w:pPr>
        <w:framePr w:wrap="auto" w:vAnchor="margin" w:hAnchor="text" w:yAlign="inline"/>
        <w:widowControl w:val="0"/>
        <w:spacing w:line="360" w:lineRule="auto"/>
        <w:ind w:firstLine="480" w:firstLineChars="200"/>
        <w:jc w:val="both"/>
        <w:rPr>
          <w:rFonts w:ascii="仿宋" w:hAnsi="仿宋" w:eastAsia="仿宋" w:cs="宋体"/>
          <w:bCs/>
          <w:color w:val="auto"/>
          <w:kern w:val="2"/>
          <w:sz w:val="24"/>
          <w:highlight w:val="none"/>
          <w:lang w:eastAsia="zh-CN"/>
        </w:rPr>
      </w:pPr>
      <w:r>
        <w:rPr>
          <w:rFonts w:hint="eastAsia" w:ascii="仿宋" w:hAnsi="仿宋" w:eastAsia="仿宋" w:cs="宋体"/>
          <w:bCs/>
          <w:color w:val="auto"/>
          <w:kern w:val="2"/>
          <w:sz w:val="24"/>
          <w:highlight w:val="none"/>
          <w:lang w:eastAsia="zh-CN"/>
        </w:rPr>
        <w:t>（</w:t>
      </w:r>
      <w:r>
        <w:rPr>
          <w:rFonts w:ascii="仿宋" w:hAnsi="仿宋" w:eastAsia="仿宋" w:cs="宋体"/>
          <w:bCs/>
          <w:color w:val="auto"/>
          <w:kern w:val="2"/>
          <w:sz w:val="24"/>
          <w:highlight w:val="none"/>
          <w:lang w:eastAsia="zh-CN"/>
        </w:rPr>
        <w:t>1</w:t>
      </w:r>
      <w:r>
        <w:rPr>
          <w:rFonts w:hint="eastAsia" w:ascii="仿宋" w:hAnsi="仿宋" w:eastAsia="仿宋" w:cs="宋体"/>
          <w:bCs/>
          <w:color w:val="auto"/>
          <w:kern w:val="2"/>
          <w:sz w:val="24"/>
          <w:highlight w:val="none"/>
          <w:lang w:eastAsia="zh-CN"/>
        </w:rPr>
        <w:t>）如果出现混凝土结构开裂，造成开裂部分原因及责任归属于乙方的情况下，乙方须承担由此造成的</w:t>
      </w:r>
      <w:r>
        <w:rPr>
          <w:rFonts w:ascii="仿宋" w:hAnsi="仿宋" w:eastAsia="仿宋" w:cs="宋体"/>
          <w:bCs/>
          <w:color w:val="auto"/>
          <w:kern w:val="2"/>
          <w:sz w:val="24"/>
          <w:highlight w:val="none"/>
          <w:lang w:eastAsia="zh-CN"/>
        </w:rPr>
        <w:t>30%</w:t>
      </w:r>
      <w:r>
        <w:rPr>
          <w:rFonts w:hint="eastAsia" w:ascii="仿宋" w:hAnsi="仿宋" w:eastAsia="仿宋" w:cs="宋体"/>
          <w:bCs/>
          <w:color w:val="auto"/>
          <w:kern w:val="2"/>
          <w:sz w:val="24"/>
          <w:highlight w:val="none"/>
          <w:lang w:eastAsia="zh-CN"/>
        </w:rPr>
        <w:t>经济损失。</w:t>
      </w:r>
    </w:p>
    <w:p w14:paraId="6F2EDAB5">
      <w:pPr>
        <w:framePr w:wrap="auto" w:vAnchor="margin" w:hAnchor="text" w:yAlign="inline"/>
        <w:widowControl w:val="0"/>
        <w:spacing w:line="360" w:lineRule="auto"/>
        <w:ind w:firstLine="480" w:firstLineChars="200"/>
        <w:jc w:val="both"/>
        <w:rPr>
          <w:rFonts w:ascii="仿宋" w:hAnsi="仿宋" w:eastAsia="仿宋" w:cs="宋体"/>
          <w:bCs/>
          <w:color w:val="auto"/>
          <w:kern w:val="2"/>
          <w:sz w:val="24"/>
          <w:highlight w:val="none"/>
          <w:lang w:eastAsia="zh-CN"/>
        </w:rPr>
      </w:pPr>
      <w:r>
        <w:rPr>
          <w:rFonts w:hint="eastAsia" w:ascii="仿宋" w:hAnsi="仿宋" w:eastAsia="仿宋" w:cs="宋体"/>
          <w:bCs/>
          <w:color w:val="auto"/>
          <w:kern w:val="2"/>
          <w:sz w:val="24"/>
          <w:highlight w:val="none"/>
          <w:lang w:eastAsia="zh-CN"/>
        </w:rPr>
        <w:t>（</w:t>
      </w:r>
      <w:r>
        <w:rPr>
          <w:rFonts w:ascii="仿宋" w:hAnsi="仿宋" w:eastAsia="仿宋" w:cs="宋体"/>
          <w:bCs/>
          <w:color w:val="auto"/>
          <w:kern w:val="2"/>
          <w:sz w:val="24"/>
          <w:highlight w:val="none"/>
          <w:lang w:eastAsia="zh-CN"/>
        </w:rPr>
        <w:t>2</w:t>
      </w:r>
      <w:r>
        <w:rPr>
          <w:rFonts w:hint="eastAsia" w:ascii="仿宋" w:hAnsi="仿宋" w:eastAsia="仿宋" w:cs="宋体"/>
          <w:bCs/>
          <w:color w:val="auto"/>
          <w:kern w:val="2"/>
          <w:sz w:val="24"/>
          <w:highlight w:val="none"/>
          <w:lang w:eastAsia="zh-CN"/>
        </w:rPr>
        <w:t>）如果出现混凝土结构开裂，由具备相关资质单位判定造成开裂的原因及责任是由于混凝土质量不合格所致，乙方须承担由此所造成的全部责任及经济损失。</w:t>
      </w:r>
    </w:p>
    <w:p w14:paraId="6580352C">
      <w:pPr>
        <w:framePr w:wrap="auto" w:vAnchor="margin" w:hAnchor="text" w:yAlign="inline"/>
        <w:widowControl w:val="0"/>
        <w:autoSpaceDE w:val="0"/>
        <w:autoSpaceDN w:val="0"/>
        <w:spacing w:line="360" w:lineRule="auto"/>
        <w:ind w:firstLine="480" w:firstLineChars="200"/>
        <w:jc w:val="both"/>
        <w:rPr>
          <w:rFonts w:ascii="仿宋" w:hAnsi="仿宋" w:eastAsia="仿宋" w:cs="宋体"/>
          <w:bCs/>
          <w:color w:val="auto"/>
          <w:kern w:val="2"/>
          <w:sz w:val="24"/>
          <w:highlight w:val="none"/>
          <w:u w:val="single"/>
          <w:lang w:eastAsia="zh-CN"/>
        </w:rPr>
      </w:pPr>
      <w:r>
        <w:rPr>
          <w:rFonts w:ascii="仿宋" w:hAnsi="仿宋" w:eastAsia="仿宋" w:cs="宋体"/>
          <w:bCs/>
          <w:color w:val="auto"/>
          <w:kern w:val="2"/>
          <w:sz w:val="24"/>
          <w:highlight w:val="none"/>
          <w:lang w:eastAsia="zh-CN"/>
        </w:rPr>
        <w:t>5</w:t>
      </w:r>
      <w:r>
        <w:rPr>
          <w:rFonts w:hint="eastAsia" w:ascii="仿宋" w:hAnsi="仿宋" w:eastAsia="仿宋" w:cs="宋体"/>
          <w:bCs/>
          <w:color w:val="auto"/>
          <w:kern w:val="2"/>
          <w:sz w:val="24"/>
          <w:highlight w:val="none"/>
          <w:lang w:val="en-US" w:eastAsia="zh-CN"/>
        </w:rPr>
        <w:t>.</w:t>
      </w:r>
      <w:r>
        <w:rPr>
          <w:rFonts w:hint="eastAsia" w:ascii="仿宋" w:hAnsi="仿宋" w:eastAsia="仿宋" w:cs="宋体"/>
          <w:bCs/>
          <w:color w:val="auto"/>
          <w:kern w:val="2"/>
          <w:sz w:val="24"/>
          <w:highlight w:val="none"/>
          <w:lang w:eastAsia="zh-CN"/>
        </w:rPr>
        <w:t>乙方生产控制室电话号码：</w:t>
      </w:r>
      <w:r>
        <w:rPr>
          <w:rFonts w:hint="eastAsia" w:ascii="仿宋" w:hAnsi="仿宋" w:eastAsia="仿宋" w:cs="宋体"/>
          <w:bCs/>
          <w:color w:val="auto"/>
          <w:kern w:val="2"/>
          <w:sz w:val="24"/>
          <w:highlight w:val="none"/>
          <w:u w:val="single"/>
          <w:lang w:val="en-US" w:eastAsia="zh-CN"/>
        </w:rPr>
        <w:t xml:space="preserve">     </w:t>
      </w:r>
      <w:r>
        <w:rPr>
          <w:rFonts w:hint="eastAsia" w:ascii="仿宋" w:hAnsi="仿宋" w:eastAsia="仿宋" w:cs="宋体"/>
          <w:bCs/>
          <w:color w:val="auto"/>
          <w:kern w:val="2"/>
          <w:sz w:val="24"/>
          <w:highlight w:val="none"/>
          <w:u w:val="none"/>
          <w:lang w:val="en-US" w:eastAsia="zh-CN"/>
        </w:rPr>
        <w:t>，试验室电话：</w:t>
      </w:r>
      <w:r>
        <w:rPr>
          <w:rFonts w:hint="eastAsia" w:ascii="仿宋" w:hAnsi="仿宋" w:eastAsia="仿宋" w:cs="宋体"/>
          <w:bCs/>
          <w:color w:val="auto"/>
          <w:kern w:val="2"/>
          <w:sz w:val="24"/>
          <w:highlight w:val="none"/>
          <w:u w:val="single"/>
          <w:lang w:val="en-US" w:eastAsia="zh-CN"/>
        </w:rPr>
        <w:t xml:space="preserve">   </w:t>
      </w:r>
      <w:r>
        <w:rPr>
          <w:rFonts w:hint="eastAsia" w:ascii="仿宋" w:hAnsi="仿宋" w:eastAsia="仿宋" w:cs="宋体"/>
          <w:bCs/>
          <w:color w:val="auto"/>
          <w:kern w:val="2"/>
          <w:sz w:val="24"/>
          <w:highlight w:val="none"/>
          <w:lang w:eastAsia="zh-CN"/>
        </w:rPr>
        <w:t>；乙方接到甲方《用料计划》传真或电话后，须传真或电话向甲方确认。乙方发货联系人</w:t>
      </w:r>
      <w:r>
        <w:rPr>
          <w:rFonts w:hint="eastAsia" w:ascii="仿宋" w:hAnsi="仿宋" w:eastAsia="仿宋" w:cs="宋体"/>
          <w:bCs/>
          <w:color w:val="auto"/>
          <w:kern w:val="2"/>
          <w:sz w:val="24"/>
          <w:highlight w:val="none"/>
          <w:u w:val="none"/>
          <w:lang w:eastAsia="zh-CN"/>
        </w:rPr>
        <w:t>：</w:t>
      </w:r>
      <w:r>
        <w:rPr>
          <w:rFonts w:hint="eastAsia" w:ascii="仿宋" w:hAnsi="仿宋" w:eastAsia="仿宋" w:cs="宋体"/>
          <w:bCs/>
          <w:color w:val="auto"/>
          <w:kern w:val="2"/>
          <w:sz w:val="24"/>
          <w:highlight w:val="none"/>
          <w:u w:val="single"/>
          <w:lang w:val="en-US" w:eastAsia="zh-CN"/>
        </w:rPr>
        <w:t xml:space="preserve"> </w:t>
      </w:r>
      <w:r>
        <w:rPr>
          <w:rFonts w:hint="eastAsia" w:ascii="仿宋" w:hAnsi="仿宋" w:eastAsia="仿宋" w:cs="宋体"/>
          <w:bCs/>
          <w:color w:val="auto"/>
          <w:kern w:val="2"/>
          <w:sz w:val="24"/>
          <w:highlight w:val="none"/>
          <w:lang w:eastAsia="zh-CN"/>
        </w:rPr>
        <w:t>，</w:t>
      </w:r>
      <w:r>
        <w:rPr>
          <w:rFonts w:hint="eastAsia" w:ascii="仿宋" w:hAnsi="仿宋" w:eastAsia="仿宋" w:cs="Times New Roman"/>
          <w:color w:val="auto"/>
          <w:kern w:val="2"/>
          <w:sz w:val="24"/>
          <w:szCs w:val="24"/>
          <w:highlight w:val="none"/>
          <w:u w:val="none"/>
          <w:lang w:val="en-US" w:eastAsia="zh-CN"/>
        </w:rPr>
        <w:t>身份证号：</w:t>
      </w:r>
      <w:r>
        <w:rPr>
          <w:rFonts w:hint="eastAsia" w:ascii="仿宋" w:hAnsi="仿宋" w:eastAsia="仿宋" w:cs="Times New Roman"/>
          <w:color w:val="auto"/>
          <w:kern w:val="2"/>
          <w:sz w:val="24"/>
          <w:szCs w:val="24"/>
          <w:highlight w:val="none"/>
          <w:u w:val="single"/>
          <w:lang w:val="en-US" w:eastAsia="zh-CN"/>
        </w:rPr>
        <w:t xml:space="preserve">   </w:t>
      </w:r>
      <w:r>
        <w:rPr>
          <w:rFonts w:hint="eastAsia" w:ascii="仿宋" w:hAnsi="仿宋" w:eastAsia="仿宋" w:cs="Times New Roman"/>
          <w:color w:val="auto"/>
          <w:kern w:val="2"/>
          <w:sz w:val="24"/>
          <w:szCs w:val="24"/>
          <w:highlight w:val="none"/>
          <w:lang w:val="en-US" w:eastAsia="zh-CN"/>
        </w:rPr>
        <w:t>，</w:t>
      </w:r>
      <w:r>
        <w:rPr>
          <w:rFonts w:hint="eastAsia" w:ascii="仿宋" w:hAnsi="仿宋" w:eastAsia="仿宋" w:cs="宋体"/>
          <w:bCs/>
          <w:color w:val="auto"/>
          <w:kern w:val="2"/>
          <w:sz w:val="24"/>
          <w:highlight w:val="none"/>
          <w:lang w:eastAsia="zh-CN"/>
        </w:rPr>
        <w:t>联系电话：</w:t>
      </w:r>
      <w:r>
        <w:rPr>
          <w:rFonts w:hint="eastAsia" w:ascii="仿宋" w:hAnsi="仿宋" w:eastAsia="仿宋" w:cs="宋体"/>
          <w:bCs/>
          <w:color w:val="auto"/>
          <w:kern w:val="2"/>
          <w:sz w:val="24"/>
          <w:highlight w:val="none"/>
          <w:u w:val="single"/>
          <w:lang w:val="en-US" w:eastAsia="zh-CN"/>
        </w:rPr>
        <w:t xml:space="preserve">    </w:t>
      </w:r>
      <w:r>
        <w:rPr>
          <w:rFonts w:hint="eastAsia" w:ascii="仿宋" w:hAnsi="仿宋" w:eastAsia="仿宋" w:cs="Times New Roman"/>
          <w:color w:val="auto"/>
          <w:kern w:val="2"/>
          <w:sz w:val="24"/>
          <w:szCs w:val="24"/>
          <w:highlight w:val="none"/>
          <w:u w:val="none"/>
          <w:shd w:val="clear" w:color="auto" w:fill="auto"/>
          <w:lang w:eastAsia="zh-CN"/>
        </w:rPr>
        <w:t>，</w:t>
      </w:r>
      <w:r>
        <w:rPr>
          <w:rFonts w:hint="eastAsia" w:ascii="仿宋" w:hAnsi="仿宋" w:eastAsia="仿宋" w:cs="Times New Roman"/>
          <w:color w:val="auto"/>
          <w:kern w:val="2"/>
          <w:sz w:val="24"/>
          <w:szCs w:val="24"/>
          <w:highlight w:val="none"/>
          <w:u w:val="none"/>
          <w:lang w:val="en-US" w:eastAsia="zh-CN"/>
        </w:rPr>
        <w:t>微信号：</w:t>
      </w:r>
      <w:r>
        <w:rPr>
          <w:rFonts w:hint="eastAsia" w:ascii="仿宋" w:hAnsi="仿宋" w:eastAsia="仿宋" w:cs="仿宋"/>
          <w:color w:val="auto"/>
          <w:kern w:val="2"/>
          <w:sz w:val="24"/>
          <w:szCs w:val="24"/>
          <w:highlight w:val="none"/>
          <w:u w:val="single"/>
          <w:lang w:val="en-US" w:eastAsia="zh-CN"/>
        </w:rPr>
        <w:t xml:space="preserve">    </w:t>
      </w:r>
      <w:r>
        <w:rPr>
          <w:rFonts w:hint="eastAsia" w:ascii="仿宋" w:hAnsi="仿宋" w:eastAsia="仿宋" w:cs="宋体"/>
          <w:bCs/>
          <w:color w:val="auto"/>
          <w:kern w:val="2"/>
          <w:sz w:val="24"/>
          <w:highlight w:val="none"/>
          <w:lang w:eastAsia="zh-CN"/>
        </w:rPr>
        <w:t>；</w:t>
      </w:r>
      <w:r>
        <w:rPr>
          <w:rFonts w:hint="eastAsia" w:ascii="仿宋" w:hAnsi="仿宋" w:eastAsia="仿宋" w:cs="Times New Roman"/>
          <w:color w:val="auto"/>
          <w:kern w:val="2"/>
          <w:sz w:val="24"/>
          <w:highlight w:val="none"/>
          <w:lang w:eastAsia="zh-CN"/>
        </w:rPr>
        <w:t>乙方须将货物运至交货地点交甲方联系人签收确认方为有效。非本合同约定甲方联系人签收的送货单，视为甲方未收到相应货物，对甲方不具有效力。</w:t>
      </w:r>
    </w:p>
    <w:p w14:paraId="6EEE80B0">
      <w:pPr>
        <w:framePr w:wrap="auto" w:vAnchor="margin" w:hAnchor="text" w:yAlign="inline"/>
        <w:widowControl w:val="0"/>
        <w:spacing w:line="360" w:lineRule="auto"/>
        <w:ind w:firstLine="480" w:firstLineChars="200"/>
        <w:jc w:val="both"/>
        <w:rPr>
          <w:rFonts w:ascii="仿宋" w:hAnsi="仿宋" w:eastAsia="仿宋" w:cs="宋体"/>
          <w:bCs/>
          <w:color w:val="auto"/>
          <w:kern w:val="2"/>
          <w:sz w:val="24"/>
          <w:highlight w:val="none"/>
          <w:lang w:eastAsia="zh-CN"/>
        </w:rPr>
      </w:pPr>
      <w:r>
        <w:rPr>
          <w:rFonts w:ascii="仿宋" w:hAnsi="仿宋" w:eastAsia="仿宋" w:cs="宋体"/>
          <w:bCs/>
          <w:color w:val="auto"/>
          <w:kern w:val="2"/>
          <w:sz w:val="24"/>
          <w:highlight w:val="none"/>
          <w:lang w:eastAsia="zh-CN"/>
        </w:rPr>
        <w:t>6</w:t>
      </w:r>
      <w:r>
        <w:rPr>
          <w:rFonts w:hint="eastAsia" w:ascii="仿宋" w:hAnsi="仿宋" w:eastAsia="仿宋" w:cs="宋体"/>
          <w:bCs/>
          <w:color w:val="auto"/>
          <w:kern w:val="2"/>
          <w:sz w:val="24"/>
          <w:highlight w:val="none"/>
          <w:lang w:val="en-US" w:eastAsia="zh-CN"/>
        </w:rPr>
        <w:t>.</w:t>
      </w:r>
      <w:r>
        <w:rPr>
          <w:rFonts w:hint="eastAsia" w:ascii="仿宋" w:hAnsi="仿宋" w:eastAsia="仿宋" w:cs="宋体"/>
          <w:bCs/>
          <w:color w:val="auto"/>
          <w:kern w:val="2"/>
          <w:sz w:val="24"/>
          <w:highlight w:val="none"/>
          <w:lang w:eastAsia="zh-CN"/>
        </w:rPr>
        <w:t>每批砼供应，乙方需提供砼配料单。</w:t>
      </w:r>
    </w:p>
    <w:p w14:paraId="412E1A23">
      <w:pPr>
        <w:framePr w:wrap="auto" w:vAnchor="margin" w:hAnchor="text" w:yAlign="inline"/>
        <w:widowControl w:val="0"/>
        <w:spacing w:line="360" w:lineRule="auto"/>
        <w:ind w:firstLine="480" w:firstLineChars="200"/>
        <w:jc w:val="both"/>
        <w:rPr>
          <w:rFonts w:ascii="仿宋" w:hAnsi="仿宋" w:eastAsia="仿宋" w:cs="宋体"/>
          <w:bCs/>
          <w:color w:val="auto"/>
          <w:kern w:val="2"/>
          <w:sz w:val="24"/>
          <w:highlight w:val="none"/>
          <w:lang w:eastAsia="zh-CN"/>
        </w:rPr>
      </w:pPr>
      <w:r>
        <w:rPr>
          <w:rFonts w:ascii="仿宋" w:hAnsi="仿宋" w:eastAsia="仿宋" w:cs="宋体"/>
          <w:bCs/>
          <w:color w:val="auto"/>
          <w:kern w:val="2"/>
          <w:sz w:val="24"/>
          <w:highlight w:val="none"/>
          <w:lang w:eastAsia="zh-CN"/>
        </w:rPr>
        <w:t>7</w:t>
      </w:r>
      <w:r>
        <w:rPr>
          <w:rFonts w:hint="eastAsia" w:ascii="仿宋" w:hAnsi="仿宋" w:eastAsia="仿宋" w:cs="宋体"/>
          <w:bCs/>
          <w:color w:val="auto"/>
          <w:kern w:val="2"/>
          <w:sz w:val="24"/>
          <w:highlight w:val="none"/>
          <w:lang w:val="en-US" w:eastAsia="zh-CN"/>
        </w:rPr>
        <w:t>.</w:t>
      </w:r>
      <w:r>
        <w:rPr>
          <w:rFonts w:hint="eastAsia" w:ascii="仿宋" w:hAnsi="仿宋" w:eastAsia="仿宋" w:cs="宋体"/>
          <w:bCs/>
          <w:color w:val="auto"/>
          <w:kern w:val="2"/>
          <w:sz w:val="24"/>
          <w:highlight w:val="none"/>
          <w:lang w:eastAsia="zh-CN"/>
        </w:rPr>
        <w:t>供应商应建立健全质量保证体系，严格按国家标准和规范组织生产，根据合同和甲方通知要求，保质、保量、按时完成混凝土生产供应任务。配合比经甲方验证后，不可随意调整，如需调整应提前</w:t>
      </w:r>
      <w:r>
        <w:rPr>
          <w:rFonts w:hint="eastAsia" w:ascii="仿宋" w:hAnsi="仿宋" w:eastAsia="仿宋" w:cs="宋体"/>
          <w:bCs/>
          <w:color w:val="auto"/>
          <w:kern w:val="2"/>
          <w:sz w:val="24"/>
          <w:highlight w:val="none"/>
          <w:u w:val="single"/>
          <w:lang w:eastAsia="zh-CN"/>
        </w:rPr>
        <w:t xml:space="preserve"> </w:t>
      </w:r>
      <w:r>
        <w:rPr>
          <w:rFonts w:hint="eastAsia" w:ascii="仿宋" w:hAnsi="仿宋" w:eastAsia="仿宋" w:cs="宋体"/>
          <w:bCs/>
          <w:color w:val="auto"/>
          <w:kern w:val="2"/>
          <w:sz w:val="24"/>
          <w:highlight w:val="none"/>
          <w:u w:val="single"/>
          <w:lang w:val="en-US" w:eastAsia="zh-CN"/>
        </w:rPr>
        <w:t>3</w:t>
      </w:r>
      <w:r>
        <w:rPr>
          <w:rFonts w:hint="eastAsia" w:ascii="仿宋" w:hAnsi="仿宋" w:eastAsia="仿宋" w:cs="宋体"/>
          <w:bCs/>
          <w:color w:val="auto"/>
          <w:kern w:val="2"/>
          <w:sz w:val="24"/>
          <w:highlight w:val="none"/>
          <w:u w:val="single"/>
          <w:lang w:eastAsia="zh-CN"/>
        </w:rPr>
        <w:t xml:space="preserve"> </w:t>
      </w:r>
      <w:r>
        <w:rPr>
          <w:rFonts w:hint="eastAsia" w:ascii="仿宋" w:hAnsi="仿宋" w:eastAsia="仿宋" w:cs="宋体"/>
          <w:bCs/>
          <w:color w:val="auto"/>
          <w:kern w:val="2"/>
          <w:sz w:val="24"/>
          <w:highlight w:val="none"/>
          <w:lang w:eastAsia="zh-CN"/>
        </w:rPr>
        <w:t>天通知甲方。</w:t>
      </w:r>
    </w:p>
    <w:p w14:paraId="053531A6">
      <w:pPr>
        <w:framePr w:wrap="auto" w:vAnchor="margin" w:hAnchor="text" w:yAlign="inline"/>
        <w:widowControl w:val="0"/>
        <w:spacing w:line="360" w:lineRule="auto"/>
        <w:ind w:firstLine="480" w:firstLineChars="200"/>
        <w:jc w:val="both"/>
        <w:rPr>
          <w:rFonts w:ascii="仿宋" w:hAnsi="仿宋" w:eastAsia="仿宋" w:cs="宋体"/>
          <w:bCs/>
          <w:color w:val="auto"/>
          <w:kern w:val="2"/>
          <w:sz w:val="24"/>
          <w:highlight w:val="none"/>
          <w:lang w:eastAsia="zh-CN"/>
        </w:rPr>
      </w:pPr>
      <w:r>
        <w:rPr>
          <w:rFonts w:ascii="仿宋" w:hAnsi="仿宋" w:eastAsia="仿宋" w:cs="宋体"/>
          <w:bCs/>
          <w:color w:val="auto"/>
          <w:kern w:val="2"/>
          <w:sz w:val="24"/>
          <w:highlight w:val="none"/>
          <w:lang w:eastAsia="zh-CN"/>
        </w:rPr>
        <w:t>8</w:t>
      </w:r>
      <w:r>
        <w:rPr>
          <w:rFonts w:hint="eastAsia" w:ascii="仿宋" w:hAnsi="仿宋" w:eastAsia="仿宋" w:cs="宋体"/>
          <w:bCs/>
          <w:color w:val="auto"/>
          <w:kern w:val="2"/>
          <w:sz w:val="24"/>
          <w:highlight w:val="none"/>
          <w:lang w:val="en-US" w:eastAsia="zh-CN"/>
        </w:rPr>
        <w:t>.</w:t>
      </w:r>
      <w:r>
        <w:rPr>
          <w:rFonts w:hint="eastAsia" w:ascii="仿宋" w:hAnsi="仿宋" w:eastAsia="仿宋" w:cs="宋体"/>
          <w:bCs/>
          <w:color w:val="auto"/>
          <w:kern w:val="2"/>
          <w:sz w:val="24"/>
          <w:highlight w:val="none"/>
          <w:lang w:eastAsia="zh-CN"/>
        </w:rPr>
        <w:t>乙方负责按国家规范设计商品混凝土的配合比，同一部位的混凝土必须使用同一配比并采用同一品种规格的原材料。乙方应及时按不同混凝土品种等级向甲方提供商品混凝土出厂质量证明书和产品使用说明书，及时提供全部有关技术资料。</w:t>
      </w:r>
    </w:p>
    <w:p w14:paraId="0E73133B">
      <w:pPr>
        <w:framePr w:wrap="auto" w:vAnchor="margin" w:hAnchor="text" w:yAlign="inline"/>
        <w:widowControl w:val="0"/>
        <w:spacing w:line="360" w:lineRule="auto"/>
        <w:ind w:firstLine="480" w:firstLineChars="200"/>
        <w:jc w:val="both"/>
        <w:rPr>
          <w:rFonts w:ascii="仿宋" w:hAnsi="仿宋" w:eastAsia="仿宋" w:cs="宋体"/>
          <w:bCs/>
          <w:color w:val="auto"/>
          <w:kern w:val="2"/>
          <w:sz w:val="24"/>
          <w:highlight w:val="none"/>
          <w:lang w:eastAsia="zh-CN"/>
        </w:rPr>
      </w:pPr>
      <w:r>
        <w:rPr>
          <w:rFonts w:ascii="仿宋" w:hAnsi="仿宋" w:eastAsia="仿宋" w:cs="宋体"/>
          <w:bCs/>
          <w:color w:val="auto"/>
          <w:kern w:val="2"/>
          <w:sz w:val="24"/>
          <w:highlight w:val="none"/>
          <w:lang w:eastAsia="zh-CN"/>
        </w:rPr>
        <w:t>9</w:t>
      </w:r>
      <w:r>
        <w:rPr>
          <w:rFonts w:hint="eastAsia" w:ascii="仿宋" w:hAnsi="仿宋" w:eastAsia="仿宋" w:cs="宋体"/>
          <w:bCs/>
          <w:color w:val="auto"/>
          <w:kern w:val="2"/>
          <w:sz w:val="24"/>
          <w:highlight w:val="none"/>
          <w:lang w:val="en-US" w:eastAsia="zh-CN"/>
        </w:rPr>
        <w:t>.</w:t>
      </w:r>
      <w:r>
        <w:rPr>
          <w:rFonts w:hint="eastAsia" w:ascii="仿宋" w:hAnsi="仿宋" w:eastAsia="仿宋" w:cs="宋体"/>
          <w:bCs/>
          <w:color w:val="auto"/>
          <w:kern w:val="2"/>
          <w:sz w:val="24"/>
          <w:highlight w:val="none"/>
          <w:lang w:eastAsia="zh-CN"/>
        </w:rPr>
        <w:t>乙方应积极配合甲方对混凝土质量和供应量的抽查，出现争议时，乙方应及时派员进行协商处理。如因供应方原因造成甲方出现质量问题，供应方应该承担赔偿责任。</w:t>
      </w:r>
    </w:p>
    <w:p w14:paraId="718831E8">
      <w:pPr>
        <w:framePr w:wrap="auto" w:vAnchor="margin" w:hAnchor="text" w:yAlign="inline"/>
        <w:widowControl w:val="0"/>
        <w:spacing w:line="360" w:lineRule="auto"/>
        <w:ind w:firstLine="480" w:firstLineChars="200"/>
        <w:jc w:val="both"/>
        <w:rPr>
          <w:rFonts w:ascii="仿宋" w:hAnsi="仿宋" w:eastAsia="仿宋" w:cs="宋体"/>
          <w:bCs/>
          <w:color w:val="auto"/>
          <w:kern w:val="2"/>
          <w:sz w:val="24"/>
          <w:highlight w:val="none"/>
          <w:lang w:eastAsia="zh-CN"/>
        </w:rPr>
      </w:pPr>
      <w:r>
        <w:rPr>
          <w:rFonts w:ascii="仿宋" w:hAnsi="仿宋" w:eastAsia="仿宋" w:cs="宋体"/>
          <w:bCs/>
          <w:color w:val="auto"/>
          <w:kern w:val="2"/>
          <w:sz w:val="24"/>
          <w:highlight w:val="none"/>
          <w:lang w:eastAsia="zh-CN"/>
        </w:rPr>
        <w:t>10</w:t>
      </w:r>
      <w:r>
        <w:rPr>
          <w:rFonts w:hint="eastAsia" w:ascii="仿宋" w:hAnsi="仿宋" w:eastAsia="仿宋" w:cs="宋体"/>
          <w:bCs/>
          <w:color w:val="auto"/>
          <w:kern w:val="2"/>
          <w:sz w:val="24"/>
          <w:highlight w:val="none"/>
          <w:lang w:val="en-US" w:eastAsia="zh-CN"/>
        </w:rPr>
        <w:t>.</w:t>
      </w:r>
      <w:r>
        <w:rPr>
          <w:rFonts w:hint="eastAsia" w:ascii="仿宋" w:hAnsi="仿宋" w:eastAsia="仿宋" w:cs="宋体"/>
          <w:bCs/>
          <w:color w:val="auto"/>
          <w:kern w:val="2"/>
          <w:sz w:val="24"/>
          <w:highlight w:val="none"/>
          <w:lang w:eastAsia="zh-CN"/>
        </w:rPr>
        <w:t>如甲方有不按合同约定支付货款等违约行为，乙方应积极进行协商。在协商期间不能因故减少车辆供应或不提供混凝土；如协商未果，可在提前</w:t>
      </w:r>
      <w:r>
        <w:rPr>
          <w:rFonts w:ascii="仿宋" w:hAnsi="仿宋" w:eastAsia="仿宋" w:cs="宋体"/>
          <w:bCs/>
          <w:color w:val="auto"/>
          <w:kern w:val="2"/>
          <w:sz w:val="24"/>
          <w:highlight w:val="none"/>
          <w:lang w:eastAsia="zh-CN"/>
        </w:rPr>
        <w:t xml:space="preserve"> </w:t>
      </w:r>
      <w:r>
        <w:rPr>
          <w:rFonts w:hint="eastAsia" w:ascii="仿宋" w:hAnsi="仿宋" w:eastAsia="仿宋" w:cs="宋体"/>
          <w:bCs/>
          <w:color w:val="auto"/>
          <w:kern w:val="2"/>
          <w:sz w:val="24"/>
          <w:highlight w:val="none"/>
          <w:lang w:val="en-US" w:eastAsia="zh-CN"/>
        </w:rPr>
        <w:t xml:space="preserve"> </w:t>
      </w:r>
      <w:r>
        <w:rPr>
          <w:rFonts w:hint="eastAsia" w:ascii="仿宋" w:hAnsi="仿宋" w:eastAsia="仿宋" w:cs="宋体"/>
          <w:bCs/>
          <w:color w:val="auto"/>
          <w:kern w:val="2"/>
          <w:sz w:val="24"/>
          <w:highlight w:val="none"/>
          <w:lang w:eastAsia="zh-CN"/>
        </w:rPr>
        <w:t>天书面通知甲方的情况下，停止向甲方供应混凝土。</w:t>
      </w:r>
    </w:p>
    <w:p w14:paraId="534FBC3D">
      <w:pPr>
        <w:framePr w:wrap="auto" w:vAnchor="margin" w:hAnchor="text" w:yAlign="inline"/>
        <w:widowControl w:val="0"/>
        <w:spacing w:line="360" w:lineRule="auto"/>
        <w:ind w:firstLine="480" w:firstLineChars="200"/>
        <w:jc w:val="both"/>
        <w:rPr>
          <w:rFonts w:ascii="仿宋" w:hAnsi="仿宋" w:eastAsia="仿宋" w:cs="宋体"/>
          <w:bCs/>
          <w:color w:val="auto"/>
          <w:kern w:val="2"/>
          <w:sz w:val="24"/>
          <w:highlight w:val="none"/>
          <w:lang w:eastAsia="zh-CN"/>
        </w:rPr>
      </w:pPr>
      <w:r>
        <w:rPr>
          <w:rFonts w:ascii="仿宋" w:hAnsi="仿宋" w:eastAsia="仿宋" w:cs="宋体"/>
          <w:bCs/>
          <w:color w:val="auto"/>
          <w:kern w:val="2"/>
          <w:sz w:val="24"/>
          <w:highlight w:val="none"/>
          <w:lang w:eastAsia="zh-CN"/>
        </w:rPr>
        <w:t>11</w:t>
      </w:r>
      <w:r>
        <w:rPr>
          <w:rFonts w:hint="eastAsia" w:ascii="仿宋" w:hAnsi="仿宋" w:eastAsia="仿宋" w:cs="宋体"/>
          <w:bCs/>
          <w:color w:val="auto"/>
          <w:kern w:val="2"/>
          <w:sz w:val="24"/>
          <w:highlight w:val="none"/>
          <w:lang w:val="en-US" w:eastAsia="zh-CN"/>
        </w:rPr>
        <w:t>.</w:t>
      </w:r>
      <w:r>
        <w:rPr>
          <w:rFonts w:hint="eastAsia" w:ascii="仿宋" w:hAnsi="仿宋" w:eastAsia="仿宋" w:cs="宋体"/>
          <w:bCs/>
          <w:color w:val="auto"/>
          <w:kern w:val="2"/>
          <w:sz w:val="24"/>
          <w:highlight w:val="none"/>
          <w:lang w:eastAsia="zh-CN"/>
        </w:rPr>
        <w:t>乙方在每次浇筑砼超过</w:t>
      </w:r>
      <w:r>
        <w:rPr>
          <w:rFonts w:hint="eastAsia" w:ascii="仿宋" w:hAnsi="仿宋" w:eastAsia="仿宋" w:cs="宋体"/>
          <w:bCs/>
          <w:color w:val="auto"/>
          <w:kern w:val="2"/>
          <w:sz w:val="24"/>
          <w:highlight w:val="none"/>
          <w:lang w:val="en-US" w:eastAsia="zh-CN"/>
        </w:rPr>
        <w:t xml:space="preserve">  </w:t>
      </w:r>
      <w:r>
        <w:rPr>
          <w:rFonts w:hint="eastAsia" w:ascii="仿宋" w:hAnsi="仿宋" w:eastAsia="仿宋" w:cs="宋体"/>
          <w:bCs/>
          <w:color w:val="auto"/>
          <w:kern w:val="2"/>
          <w:sz w:val="24"/>
          <w:highlight w:val="none"/>
          <w:lang w:eastAsia="zh-CN"/>
        </w:rPr>
        <w:t>方时，必须派技术人员到现场监督指导，对浇砼情况、塌落度、试件制作等进行检测、指导等，大体积混凝土或关键部位浇筑，公司副总及技术人员到现场指挥协调，确保供应。</w:t>
      </w:r>
    </w:p>
    <w:p w14:paraId="31658000">
      <w:pPr>
        <w:framePr w:wrap="auto" w:vAnchor="margin" w:hAnchor="text" w:yAlign="inline"/>
        <w:widowControl w:val="0"/>
        <w:spacing w:line="360" w:lineRule="auto"/>
        <w:ind w:firstLine="480" w:firstLineChars="200"/>
        <w:jc w:val="both"/>
        <w:rPr>
          <w:rFonts w:ascii="仿宋" w:hAnsi="仿宋" w:eastAsia="仿宋" w:cs="宋体"/>
          <w:bCs/>
          <w:color w:val="auto"/>
          <w:kern w:val="2"/>
          <w:sz w:val="24"/>
          <w:highlight w:val="none"/>
          <w:lang w:eastAsia="zh-CN"/>
        </w:rPr>
      </w:pPr>
      <w:r>
        <w:rPr>
          <w:rFonts w:ascii="仿宋" w:hAnsi="仿宋" w:eastAsia="仿宋" w:cs="宋体"/>
          <w:bCs/>
          <w:color w:val="auto"/>
          <w:kern w:val="2"/>
          <w:sz w:val="24"/>
          <w:highlight w:val="none"/>
          <w:lang w:eastAsia="zh-CN"/>
        </w:rPr>
        <w:t>12</w:t>
      </w:r>
      <w:r>
        <w:rPr>
          <w:rFonts w:hint="eastAsia" w:ascii="仿宋" w:hAnsi="仿宋" w:eastAsia="仿宋" w:cs="宋体"/>
          <w:bCs/>
          <w:color w:val="auto"/>
          <w:kern w:val="2"/>
          <w:sz w:val="24"/>
          <w:highlight w:val="none"/>
          <w:lang w:val="en-US" w:eastAsia="zh-CN"/>
        </w:rPr>
        <w:t>.</w:t>
      </w:r>
      <w:r>
        <w:rPr>
          <w:rFonts w:hint="eastAsia" w:ascii="仿宋" w:hAnsi="仿宋" w:eastAsia="仿宋" w:cs="宋体"/>
          <w:bCs/>
          <w:color w:val="auto"/>
          <w:kern w:val="2"/>
          <w:sz w:val="24"/>
          <w:highlight w:val="none"/>
          <w:lang w:eastAsia="zh-CN"/>
        </w:rPr>
        <w:t>砼车到达工地现场后，甲方应按中华人民共和国颁发的现行《预拌混凝土》检验标准进行取样，甲方留取试件应按规范要求派持有上岗证的技术人员负责取样、制作（砼取样应在每车卸料</w:t>
      </w:r>
      <w:r>
        <w:rPr>
          <w:rFonts w:ascii="仿宋" w:hAnsi="仿宋" w:eastAsia="仿宋" w:cs="宋体"/>
          <w:bCs/>
          <w:color w:val="auto"/>
          <w:kern w:val="2"/>
          <w:sz w:val="24"/>
          <w:highlight w:val="none"/>
          <w:lang w:eastAsia="zh-CN"/>
        </w:rPr>
        <w:t>1/4</w:t>
      </w:r>
      <w:r>
        <w:rPr>
          <w:rFonts w:hint="eastAsia" w:ascii="仿宋" w:hAnsi="仿宋" w:eastAsia="仿宋" w:cs="宋体"/>
          <w:bCs/>
          <w:color w:val="auto"/>
          <w:kern w:val="2"/>
          <w:sz w:val="24"/>
          <w:highlight w:val="none"/>
          <w:lang w:eastAsia="zh-CN"/>
        </w:rPr>
        <w:t>～</w:t>
      </w:r>
      <w:r>
        <w:rPr>
          <w:rFonts w:ascii="仿宋" w:hAnsi="仿宋" w:eastAsia="仿宋" w:cs="宋体"/>
          <w:bCs/>
          <w:color w:val="auto"/>
          <w:kern w:val="2"/>
          <w:sz w:val="24"/>
          <w:highlight w:val="none"/>
          <w:lang w:eastAsia="zh-CN"/>
        </w:rPr>
        <w:t>3/4</w:t>
      </w:r>
      <w:r>
        <w:rPr>
          <w:rFonts w:hint="eastAsia" w:ascii="仿宋" w:hAnsi="仿宋" w:eastAsia="仿宋" w:cs="宋体"/>
          <w:bCs/>
          <w:color w:val="auto"/>
          <w:kern w:val="2"/>
          <w:sz w:val="24"/>
          <w:highlight w:val="none"/>
          <w:lang w:eastAsia="zh-CN"/>
        </w:rPr>
        <w:t>中间抽取）。送检的试块应送到当地有相关资质的质检站进行检测，并按国家颁发的现行《混凝土强度检验评定标准》进行检验且检验合格，由此产生的检测费用由甲方承担，检验合格结果作为验收砼的质量依据。</w:t>
      </w:r>
    </w:p>
    <w:p w14:paraId="294D1475">
      <w:pPr>
        <w:framePr w:wrap="auto" w:vAnchor="margin" w:hAnchor="text" w:yAlign="inline"/>
        <w:widowControl w:val="0"/>
        <w:spacing w:line="360" w:lineRule="auto"/>
        <w:ind w:firstLine="480" w:firstLineChars="200"/>
        <w:jc w:val="both"/>
        <w:rPr>
          <w:rFonts w:ascii="仿宋" w:hAnsi="仿宋" w:eastAsia="仿宋" w:cs="宋体"/>
          <w:bCs/>
          <w:color w:val="auto"/>
          <w:kern w:val="2"/>
          <w:sz w:val="24"/>
          <w:highlight w:val="none"/>
          <w:lang w:eastAsia="zh-CN"/>
        </w:rPr>
      </w:pPr>
      <w:r>
        <w:rPr>
          <w:rFonts w:ascii="仿宋" w:hAnsi="仿宋" w:eastAsia="仿宋" w:cs="宋体"/>
          <w:bCs/>
          <w:color w:val="auto"/>
          <w:kern w:val="2"/>
          <w:sz w:val="24"/>
          <w:highlight w:val="none"/>
          <w:lang w:eastAsia="zh-CN"/>
        </w:rPr>
        <w:t>13</w:t>
      </w:r>
      <w:r>
        <w:rPr>
          <w:rFonts w:hint="eastAsia" w:ascii="仿宋" w:hAnsi="仿宋" w:eastAsia="仿宋" w:cs="宋体"/>
          <w:bCs/>
          <w:color w:val="auto"/>
          <w:kern w:val="2"/>
          <w:sz w:val="24"/>
          <w:highlight w:val="none"/>
          <w:lang w:val="en-US" w:eastAsia="zh-CN"/>
        </w:rPr>
        <w:t>.</w:t>
      </w:r>
      <w:r>
        <w:rPr>
          <w:rFonts w:hint="eastAsia" w:ascii="仿宋" w:hAnsi="仿宋" w:eastAsia="仿宋" w:cs="宋体"/>
          <w:bCs/>
          <w:color w:val="auto"/>
          <w:kern w:val="2"/>
          <w:sz w:val="24"/>
          <w:highlight w:val="none"/>
          <w:lang w:eastAsia="zh-CN"/>
        </w:rPr>
        <w:t>混凝土已报计划的情况下，混凝土浇筑当天，乙方的混凝土搅拌车应在甲方要求时间准时到场。乙方需根据现场施工实际情况及路途行车情况合理安排出车，如果拖延</w:t>
      </w:r>
      <w:r>
        <w:rPr>
          <w:rFonts w:hint="eastAsia" w:ascii="仿宋" w:hAnsi="仿宋" w:eastAsia="仿宋" w:cs="宋体"/>
          <w:bCs/>
          <w:color w:val="auto"/>
          <w:kern w:val="2"/>
          <w:sz w:val="24"/>
          <w:highlight w:val="none"/>
          <w:lang w:val="en-US" w:eastAsia="zh-CN"/>
        </w:rPr>
        <w:t xml:space="preserve">  </w:t>
      </w:r>
      <w:r>
        <w:rPr>
          <w:rFonts w:hint="eastAsia" w:ascii="仿宋" w:hAnsi="仿宋" w:eastAsia="仿宋" w:cs="宋体"/>
          <w:bCs/>
          <w:color w:val="auto"/>
          <w:kern w:val="2"/>
          <w:sz w:val="24"/>
          <w:highlight w:val="none"/>
          <w:lang w:eastAsia="zh-CN"/>
        </w:rPr>
        <w:t>分钟后到场（含浇筑过程中的报料），甲方有权处以乙方</w:t>
      </w:r>
      <w:r>
        <w:rPr>
          <w:rFonts w:hint="eastAsia" w:ascii="仿宋" w:hAnsi="仿宋" w:eastAsia="仿宋" w:cs="宋体"/>
          <w:bCs/>
          <w:color w:val="auto"/>
          <w:kern w:val="2"/>
          <w:sz w:val="24"/>
          <w:highlight w:val="none"/>
          <w:lang w:val="en-US" w:eastAsia="zh-CN"/>
        </w:rPr>
        <w:t xml:space="preserve">  </w:t>
      </w:r>
      <w:r>
        <w:rPr>
          <w:rFonts w:hint="eastAsia" w:ascii="仿宋" w:hAnsi="仿宋" w:eastAsia="仿宋" w:cs="宋体"/>
          <w:bCs/>
          <w:color w:val="auto"/>
          <w:kern w:val="2"/>
          <w:sz w:val="24"/>
          <w:highlight w:val="none"/>
          <w:lang w:eastAsia="zh-CN"/>
        </w:rPr>
        <w:t>元</w:t>
      </w:r>
      <w:r>
        <w:rPr>
          <w:rFonts w:ascii="仿宋" w:hAnsi="仿宋" w:eastAsia="仿宋" w:cs="宋体"/>
          <w:bCs/>
          <w:color w:val="auto"/>
          <w:kern w:val="2"/>
          <w:sz w:val="24"/>
          <w:highlight w:val="none"/>
          <w:lang w:eastAsia="zh-CN"/>
        </w:rPr>
        <w:t>/</w:t>
      </w:r>
      <w:r>
        <w:rPr>
          <w:rFonts w:hint="eastAsia" w:ascii="仿宋" w:hAnsi="仿宋" w:eastAsia="仿宋" w:cs="宋体"/>
          <w:bCs/>
          <w:color w:val="auto"/>
          <w:kern w:val="2"/>
          <w:sz w:val="24"/>
          <w:highlight w:val="none"/>
          <w:lang w:eastAsia="zh-CN"/>
        </w:rPr>
        <w:t>车</w:t>
      </w:r>
      <w:r>
        <w:rPr>
          <w:rFonts w:ascii="仿宋" w:hAnsi="仿宋" w:eastAsia="仿宋" w:cs="宋体"/>
          <w:bCs/>
          <w:color w:val="auto"/>
          <w:kern w:val="2"/>
          <w:sz w:val="24"/>
          <w:highlight w:val="none"/>
          <w:lang w:eastAsia="zh-CN"/>
        </w:rPr>
        <w:t>/</w:t>
      </w:r>
      <w:r>
        <w:rPr>
          <w:rFonts w:hint="eastAsia" w:ascii="仿宋" w:hAnsi="仿宋" w:eastAsia="仿宋" w:cs="宋体"/>
          <w:bCs/>
          <w:color w:val="auto"/>
          <w:kern w:val="2"/>
          <w:sz w:val="24"/>
          <w:highlight w:val="none"/>
          <w:lang w:eastAsia="zh-CN"/>
        </w:rPr>
        <w:t>次的罚款。如由于乙方计划出车或路途堵车原因同时到场造成积压，责任由乙方负责。</w:t>
      </w:r>
    </w:p>
    <w:p w14:paraId="73FA5777">
      <w:pPr>
        <w:framePr w:wrap="auto" w:vAnchor="margin" w:hAnchor="text" w:yAlign="inline"/>
        <w:widowControl w:val="0"/>
        <w:spacing w:line="360" w:lineRule="auto"/>
        <w:ind w:firstLine="482" w:firstLineChars="200"/>
        <w:jc w:val="both"/>
        <w:rPr>
          <w:rFonts w:ascii="仿宋" w:hAnsi="仿宋" w:eastAsia="仿宋" w:cs="宋体"/>
          <w:b/>
          <w:color w:val="auto"/>
          <w:kern w:val="2"/>
          <w:sz w:val="24"/>
          <w:highlight w:val="none"/>
          <w:lang w:eastAsia="zh-CN"/>
        </w:rPr>
      </w:pPr>
      <w:r>
        <w:rPr>
          <w:rFonts w:hint="eastAsia" w:ascii="仿宋" w:hAnsi="仿宋" w:eastAsia="仿宋" w:cs="宋体"/>
          <w:b/>
          <w:color w:val="auto"/>
          <w:kern w:val="2"/>
          <w:sz w:val="24"/>
          <w:highlight w:val="none"/>
          <w:lang w:eastAsia="zh-CN"/>
        </w:rPr>
        <w:t>四、甲方责任</w:t>
      </w:r>
    </w:p>
    <w:p w14:paraId="52DFADCC">
      <w:pPr>
        <w:framePr w:wrap="auto" w:vAnchor="margin" w:hAnchor="text" w:yAlign="inline"/>
        <w:widowControl w:val="0"/>
        <w:spacing w:line="360" w:lineRule="auto"/>
        <w:ind w:firstLine="480" w:firstLineChars="200"/>
        <w:jc w:val="both"/>
        <w:rPr>
          <w:rFonts w:ascii="仿宋" w:hAnsi="仿宋" w:eastAsia="仿宋" w:cs="宋体"/>
          <w:bCs/>
          <w:color w:val="auto"/>
          <w:kern w:val="2"/>
          <w:sz w:val="24"/>
          <w:highlight w:val="none"/>
          <w:lang w:eastAsia="zh-CN"/>
        </w:rPr>
      </w:pPr>
      <w:r>
        <w:rPr>
          <w:rFonts w:ascii="仿宋" w:hAnsi="仿宋" w:eastAsia="仿宋" w:cs="宋体"/>
          <w:bCs/>
          <w:color w:val="auto"/>
          <w:kern w:val="2"/>
          <w:sz w:val="24"/>
          <w:highlight w:val="none"/>
          <w:lang w:eastAsia="zh-CN"/>
        </w:rPr>
        <w:t>1</w:t>
      </w:r>
      <w:r>
        <w:rPr>
          <w:rFonts w:hint="eastAsia" w:ascii="仿宋" w:hAnsi="仿宋" w:eastAsia="仿宋" w:cs="宋体"/>
          <w:bCs/>
          <w:color w:val="auto"/>
          <w:kern w:val="2"/>
          <w:sz w:val="24"/>
          <w:highlight w:val="none"/>
          <w:lang w:val="en-US" w:eastAsia="zh-CN"/>
        </w:rPr>
        <w:t>.</w:t>
      </w:r>
      <w:r>
        <w:rPr>
          <w:rFonts w:hint="eastAsia" w:ascii="仿宋" w:hAnsi="仿宋" w:eastAsia="仿宋" w:cs="宋体"/>
          <w:bCs/>
          <w:color w:val="auto"/>
          <w:kern w:val="2"/>
          <w:sz w:val="24"/>
          <w:highlight w:val="none"/>
          <w:lang w:eastAsia="zh-CN"/>
        </w:rPr>
        <w:t>甲方一般应在砼浇灌前</w:t>
      </w:r>
      <w:r>
        <w:rPr>
          <w:rFonts w:hint="eastAsia" w:ascii="仿宋" w:hAnsi="仿宋" w:eastAsia="仿宋" w:cs="宋体"/>
          <w:bCs/>
          <w:color w:val="auto"/>
          <w:kern w:val="2"/>
          <w:sz w:val="24"/>
          <w:highlight w:val="none"/>
          <w:lang w:val="en-US" w:eastAsia="zh-CN"/>
        </w:rPr>
        <w:t xml:space="preserve">   </w:t>
      </w:r>
      <w:r>
        <w:rPr>
          <w:rFonts w:hint="eastAsia" w:ascii="仿宋" w:hAnsi="仿宋" w:eastAsia="仿宋" w:cs="宋体"/>
          <w:bCs/>
          <w:color w:val="auto"/>
          <w:kern w:val="2"/>
          <w:sz w:val="24"/>
          <w:highlight w:val="none"/>
          <w:lang w:eastAsia="zh-CN"/>
        </w:rPr>
        <w:t>小时</w:t>
      </w:r>
      <w:r>
        <w:rPr>
          <w:rFonts w:hint="eastAsia" w:ascii="仿宋" w:hAnsi="仿宋" w:eastAsia="仿宋" w:cs="宋体"/>
          <w:bCs/>
          <w:color w:val="auto"/>
          <w:kern w:val="2"/>
          <w:sz w:val="24"/>
          <w:highlight w:val="none"/>
          <w:lang w:val="en-US" w:eastAsia="zh-CN"/>
        </w:rPr>
        <w:t>以电话、微信、短信等电子通讯</w:t>
      </w:r>
      <w:r>
        <w:rPr>
          <w:rFonts w:hint="eastAsia" w:ascii="仿宋" w:hAnsi="仿宋" w:eastAsia="仿宋" w:cs="宋体"/>
          <w:bCs/>
          <w:color w:val="auto"/>
          <w:kern w:val="2"/>
          <w:sz w:val="24"/>
          <w:highlight w:val="none"/>
          <w:lang w:eastAsia="zh-CN"/>
        </w:rPr>
        <w:t>或传真向乙方报送次日砼的《用料计划》（含混凝土数量、级别、塌落度、浇灌部位、要求到达时间、输送方式、质量要求等），具体要求到货时间以提前</w:t>
      </w:r>
      <w:r>
        <w:rPr>
          <w:rFonts w:hint="eastAsia" w:ascii="仿宋" w:hAnsi="仿宋" w:eastAsia="仿宋" w:cs="宋体"/>
          <w:bCs/>
          <w:color w:val="auto"/>
          <w:kern w:val="2"/>
          <w:sz w:val="24"/>
          <w:highlight w:val="none"/>
          <w:lang w:val="en-US" w:eastAsia="zh-CN"/>
        </w:rPr>
        <w:t xml:space="preserve">  </w:t>
      </w:r>
      <w:r>
        <w:rPr>
          <w:rFonts w:hint="eastAsia" w:ascii="仿宋" w:hAnsi="仿宋" w:eastAsia="仿宋" w:cs="宋体"/>
          <w:bCs/>
          <w:color w:val="auto"/>
          <w:kern w:val="2"/>
          <w:sz w:val="24"/>
          <w:highlight w:val="none"/>
          <w:lang w:eastAsia="zh-CN"/>
        </w:rPr>
        <w:t>小时的通知（可电话通知）为准。如有计划有变化，也应于计划到货时间前</w:t>
      </w:r>
      <w:r>
        <w:rPr>
          <w:rFonts w:hint="eastAsia" w:ascii="仿宋" w:hAnsi="仿宋" w:eastAsia="仿宋" w:cs="宋体"/>
          <w:bCs/>
          <w:color w:val="auto"/>
          <w:kern w:val="2"/>
          <w:sz w:val="24"/>
          <w:highlight w:val="none"/>
          <w:lang w:val="en-US" w:eastAsia="zh-CN"/>
        </w:rPr>
        <w:t xml:space="preserve"> </w:t>
      </w:r>
      <w:r>
        <w:rPr>
          <w:rFonts w:hint="eastAsia" w:ascii="仿宋" w:hAnsi="仿宋" w:eastAsia="仿宋" w:cs="宋体"/>
          <w:bCs/>
          <w:color w:val="auto"/>
          <w:kern w:val="2"/>
          <w:sz w:val="24"/>
          <w:highlight w:val="none"/>
          <w:lang w:eastAsia="zh-CN"/>
        </w:rPr>
        <w:t>小时通知乙方。计划明确混凝土数量、级别、浇灌部位、要求到达时间等，以便乙方做好原材料的组织工作及供砼的准备工作。甲方每次报用混凝土计划前应准确计算所需砼量，因甲方迟报计划造成未能按甲方要求送料到工地由甲方负责。</w:t>
      </w:r>
    </w:p>
    <w:p w14:paraId="4DC41408">
      <w:pPr>
        <w:framePr w:wrap="auto" w:vAnchor="margin" w:hAnchor="text" w:yAlign="inline"/>
        <w:widowControl w:val="0"/>
        <w:spacing w:line="360" w:lineRule="auto"/>
        <w:ind w:firstLine="480" w:firstLineChars="200"/>
        <w:jc w:val="both"/>
        <w:rPr>
          <w:rFonts w:ascii="仿宋" w:hAnsi="仿宋" w:eastAsia="仿宋" w:cs="宋体"/>
          <w:bCs/>
          <w:color w:val="auto"/>
          <w:kern w:val="2"/>
          <w:sz w:val="24"/>
          <w:highlight w:val="none"/>
          <w:lang w:eastAsia="zh-CN"/>
        </w:rPr>
      </w:pPr>
      <w:r>
        <w:rPr>
          <w:rFonts w:ascii="仿宋" w:hAnsi="仿宋" w:eastAsia="仿宋" w:cs="宋体"/>
          <w:bCs/>
          <w:color w:val="auto"/>
          <w:kern w:val="2"/>
          <w:sz w:val="24"/>
          <w:highlight w:val="none"/>
          <w:lang w:eastAsia="zh-CN"/>
        </w:rPr>
        <w:t>2</w:t>
      </w:r>
      <w:r>
        <w:rPr>
          <w:rFonts w:hint="eastAsia" w:ascii="仿宋" w:hAnsi="仿宋" w:eastAsia="仿宋" w:cs="宋体"/>
          <w:bCs/>
          <w:color w:val="auto"/>
          <w:kern w:val="2"/>
          <w:sz w:val="24"/>
          <w:highlight w:val="none"/>
          <w:lang w:val="en-US" w:eastAsia="zh-CN"/>
        </w:rPr>
        <w:t>.</w:t>
      </w:r>
      <w:r>
        <w:rPr>
          <w:rFonts w:hint="eastAsia" w:ascii="仿宋" w:hAnsi="仿宋" w:eastAsia="仿宋" w:cs="宋体"/>
          <w:bCs/>
          <w:color w:val="auto"/>
          <w:kern w:val="2"/>
          <w:sz w:val="24"/>
          <w:highlight w:val="none"/>
          <w:lang w:eastAsia="zh-CN"/>
        </w:rPr>
        <w:t>甲方应在建筑工地为商品混凝土的运输、使用提供必备的条件，保证施工现场道路畅通，有必要的供水、照明等设施和停车场地，并安排专人在现场负责调度指挥，保证车辆和随车人员顺利进出工地。</w:t>
      </w:r>
    </w:p>
    <w:p w14:paraId="7D93C967">
      <w:pPr>
        <w:framePr w:wrap="auto" w:vAnchor="margin" w:hAnchor="text" w:yAlign="inline"/>
        <w:widowControl w:val="0"/>
        <w:spacing w:line="360" w:lineRule="auto"/>
        <w:ind w:firstLine="480" w:firstLineChars="200"/>
        <w:jc w:val="both"/>
        <w:rPr>
          <w:rFonts w:ascii="仿宋" w:hAnsi="仿宋" w:eastAsia="仿宋" w:cs="宋体"/>
          <w:bCs/>
          <w:color w:val="auto"/>
          <w:kern w:val="2"/>
          <w:sz w:val="24"/>
          <w:highlight w:val="none"/>
          <w:lang w:eastAsia="zh-CN"/>
        </w:rPr>
      </w:pPr>
      <w:r>
        <w:rPr>
          <w:rFonts w:ascii="仿宋" w:hAnsi="仿宋" w:eastAsia="仿宋" w:cs="宋体"/>
          <w:bCs/>
          <w:color w:val="auto"/>
          <w:kern w:val="2"/>
          <w:sz w:val="24"/>
          <w:highlight w:val="none"/>
          <w:lang w:eastAsia="zh-CN"/>
        </w:rPr>
        <w:t>3</w:t>
      </w:r>
      <w:r>
        <w:rPr>
          <w:rFonts w:hint="eastAsia" w:ascii="仿宋" w:hAnsi="仿宋" w:eastAsia="仿宋" w:cs="宋体"/>
          <w:bCs/>
          <w:color w:val="auto"/>
          <w:kern w:val="2"/>
          <w:sz w:val="24"/>
          <w:highlight w:val="none"/>
          <w:lang w:val="en-US" w:eastAsia="zh-CN"/>
        </w:rPr>
        <w:t>.</w:t>
      </w:r>
      <w:r>
        <w:rPr>
          <w:rFonts w:hint="eastAsia" w:ascii="仿宋" w:hAnsi="仿宋" w:eastAsia="仿宋" w:cs="宋体"/>
          <w:bCs/>
          <w:color w:val="auto"/>
          <w:kern w:val="2"/>
          <w:sz w:val="24"/>
          <w:highlight w:val="none"/>
          <w:lang w:eastAsia="zh-CN"/>
        </w:rPr>
        <w:t>混凝土搅拌车到达工地后，甲方应在到货四小时内卸料完毕，二次结构所用卸料时间到货五小时内卸料完毕。</w:t>
      </w:r>
    </w:p>
    <w:p w14:paraId="26C620BE">
      <w:pPr>
        <w:framePr w:wrap="auto" w:vAnchor="margin" w:hAnchor="text" w:yAlign="inline"/>
        <w:widowControl w:val="0"/>
        <w:spacing w:line="360" w:lineRule="auto"/>
        <w:ind w:firstLine="480" w:firstLineChars="200"/>
        <w:jc w:val="both"/>
        <w:rPr>
          <w:rFonts w:ascii="仿宋" w:hAnsi="仿宋" w:eastAsia="仿宋" w:cs="宋体"/>
          <w:bCs/>
          <w:color w:val="auto"/>
          <w:kern w:val="2"/>
          <w:sz w:val="24"/>
          <w:szCs w:val="24"/>
          <w:highlight w:val="none"/>
          <w:lang w:eastAsia="zh-CN"/>
        </w:rPr>
      </w:pPr>
      <w:r>
        <w:rPr>
          <w:rFonts w:ascii="仿宋" w:hAnsi="仿宋" w:eastAsia="仿宋" w:cs="宋体"/>
          <w:bCs/>
          <w:color w:val="auto"/>
          <w:kern w:val="2"/>
          <w:sz w:val="24"/>
          <w:szCs w:val="24"/>
          <w:highlight w:val="none"/>
          <w:lang w:eastAsia="zh-CN"/>
        </w:rPr>
        <w:t>4</w:t>
      </w:r>
      <w:r>
        <w:rPr>
          <w:rFonts w:hint="eastAsia" w:ascii="仿宋" w:hAnsi="仿宋" w:eastAsia="仿宋" w:cs="宋体"/>
          <w:bCs/>
          <w:color w:val="auto"/>
          <w:kern w:val="2"/>
          <w:sz w:val="24"/>
          <w:szCs w:val="24"/>
          <w:highlight w:val="none"/>
          <w:lang w:eastAsia="zh-CN"/>
        </w:rPr>
        <w:t>、</w:t>
      </w:r>
      <w:r>
        <w:rPr>
          <w:rFonts w:hint="eastAsia" w:ascii="仿宋" w:hAnsi="仿宋" w:eastAsia="仿宋" w:cs="Times New Roman"/>
          <w:color w:val="auto"/>
          <w:kern w:val="2"/>
          <w:sz w:val="24"/>
          <w:szCs w:val="24"/>
          <w:highlight w:val="none"/>
          <w:lang w:eastAsia="zh-CN"/>
        </w:rPr>
        <w:t>甲方指定收货人：</w:t>
      </w:r>
      <w:r>
        <w:rPr>
          <w:rFonts w:hint="eastAsia" w:ascii="仿宋" w:hAnsi="仿宋" w:eastAsia="仿宋" w:cs="Times New Roman"/>
          <w:color w:val="auto"/>
          <w:kern w:val="2"/>
          <w:sz w:val="24"/>
          <w:szCs w:val="24"/>
          <w:highlight w:val="none"/>
          <w:u w:val="single"/>
          <w:lang w:val="en-US" w:eastAsia="zh-CN"/>
        </w:rPr>
        <w:t xml:space="preserve">  </w:t>
      </w:r>
      <w:r>
        <w:rPr>
          <w:rFonts w:hint="eastAsia" w:ascii="仿宋" w:hAnsi="仿宋" w:eastAsia="仿宋" w:cs="Times New Roman"/>
          <w:color w:val="auto"/>
          <w:kern w:val="2"/>
          <w:sz w:val="24"/>
          <w:szCs w:val="24"/>
          <w:highlight w:val="none"/>
          <w:lang w:eastAsia="zh-CN"/>
        </w:rPr>
        <w:t xml:space="preserve"> ，</w:t>
      </w:r>
      <w:r>
        <w:rPr>
          <w:rFonts w:hint="eastAsia" w:ascii="仿宋" w:hAnsi="仿宋" w:eastAsia="仿宋" w:cs="Times New Roman"/>
          <w:color w:val="auto"/>
          <w:kern w:val="2"/>
          <w:sz w:val="24"/>
          <w:szCs w:val="24"/>
          <w:highlight w:val="none"/>
          <w:lang w:val="en-US" w:eastAsia="zh-CN"/>
        </w:rPr>
        <w:t>身份证号：</w:t>
      </w:r>
      <w:r>
        <w:rPr>
          <w:rFonts w:hint="eastAsia" w:ascii="仿宋" w:hAnsi="仿宋" w:eastAsia="仿宋" w:cs="Times New Roman"/>
          <w:color w:val="auto"/>
          <w:kern w:val="2"/>
          <w:sz w:val="24"/>
          <w:szCs w:val="24"/>
          <w:highlight w:val="none"/>
          <w:u w:val="single"/>
          <w:lang w:val="en-US" w:eastAsia="zh-CN"/>
        </w:rPr>
        <w:t xml:space="preserve">  </w:t>
      </w:r>
      <w:r>
        <w:rPr>
          <w:rFonts w:hint="eastAsia" w:ascii="仿宋" w:hAnsi="仿宋" w:eastAsia="仿宋" w:cs="Times New Roman"/>
          <w:color w:val="auto"/>
          <w:kern w:val="2"/>
          <w:sz w:val="24"/>
          <w:szCs w:val="24"/>
          <w:highlight w:val="none"/>
          <w:lang w:val="en-US" w:eastAsia="zh-CN"/>
        </w:rPr>
        <w:t xml:space="preserve"> ，</w:t>
      </w:r>
      <w:r>
        <w:rPr>
          <w:rFonts w:hint="eastAsia" w:ascii="仿宋" w:hAnsi="仿宋" w:eastAsia="仿宋" w:cs="Times New Roman"/>
          <w:color w:val="auto"/>
          <w:kern w:val="2"/>
          <w:sz w:val="24"/>
          <w:szCs w:val="24"/>
          <w:highlight w:val="none"/>
          <w:lang w:eastAsia="zh-CN"/>
        </w:rPr>
        <w:t>联系电话：</w:t>
      </w:r>
      <w:r>
        <w:rPr>
          <w:rFonts w:hint="eastAsia" w:ascii="仿宋" w:hAnsi="仿宋" w:eastAsia="仿宋" w:cs="Times New Roman"/>
          <w:color w:val="auto"/>
          <w:kern w:val="2"/>
          <w:sz w:val="24"/>
          <w:szCs w:val="24"/>
          <w:highlight w:val="none"/>
          <w:u w:val="single"/>
          <w:lang w:eastAsia="zh-CN"/>
        </w:rPr>
        <w:t xml:space="preserve"> </w:t>
      </w:r>
      <w:r>
        <w:rPr>
          <w:rFonts w:hint="eastAsia" w:ascii="仿宋" w:hAnsi="仿宋" w:eastAsia="仿宋" w:cs="Times New Roman"/>
          <w:color w:val="auto"/>
          <w:kern w:val="2"/>
          <w:sz w:val="24"/>
          <w:szCs w:val="24"/>
          <w:highlight w:val="none"/>
          <w:u w:val="single"/>
          <w:lang w:val="en-US" w:eastAsia="zh-CN"/>
        </w:rPr>
        <w:t xml:space="preserve">  </w:t>
      </w:r>
      <w:r>
        <w:rPr>
          <w:rFonts w:hint="eastAsia" w:ascii="仿宋" w:hAnsi="仿宋" w:eastAsia="仿宋" w:cs="Times New Roman"/>
          <w:color w:val="auto"/>
          <w:kern w:val="2"/>
          <w:sz w:val="24"/>
          <w:szCs w:val="24"/>
          <w:highlight w:val="none"/>
          <w:u w:val="none"/>
          <w:lang w:val="en-US" w:eastAsia="zh-CN"/>
        </w:rPr>
        <w:t>，微信号：</w:t>
      </w:r>
      <w:r>
        <w:rPr>
          <w:rFonts w:hint="eastAsia" w:ascii="仿宋" w:hAnsi="仿宋" w:eastAsia="仿宋" w:cs="仿宋"/>
          <w:color w:val="auto"/>
          <w:kern w:val="2"/>
          <w:sz w:val="24"/>
          <w:szCs w:val="24"/>
          <w:highlight w:val="none"/>
          <w:u w:val="single"/>
          <w:lang w:val="en-US" w:eastAsia="zh-CN"/>
        </w:rPr>
        <w:t xml:space="preserve">    </w:t>
      </w:r>
      <w:r>
        <w:rPr>
          <w:rFonts w:hint="eastAsia" w:ascii="仿宋" w:hAnsi="仿宋" w:eastAsia="仿宋" w:cs="Times New Roman"/>
          <w:color w:val="auto"/>
          <w:kern w:val="2"/>
          <w:sz w:val="24"/>
          <w:szCs w:val="24"/>
          <w:highlight w:val="none"/>
          <w:lang w:eastAsia="zh-CN"/>
        </w:rPr>
        <w:t>；甲方收货联系人仅有权对乙方送货单中的数量予以确认，无权对货物价款以及最终结算单进行确认。</w:t>
      </w:r>
    </w:p>
    <w:p w14:paraId="093E5729">
      <w:pPr>
        <w:framePr w:wrap="auto" w:vAnchor="margin" w:hAnchor="text" w:yAlign="inline"/>
        <w:widowControl w:val="0"/>
        <w:spacing w:line="360" w:lineRule="auto"/>
        <w:ind w:firstLine="482" w:firstLineChars="200"/>
        <w:jc w:val="both"/>
        <w:rPr>
          <w:rFonts w:hint="eastAsia" w:ascii="仿宋" w:hAnsi="仿宋" w:eastAsia="仿宋" w:cs="宋体"/>
          <w:b/>
          <w:color w:val="auto"/>
          <w:kern w:val="2"/>
          <w:sz w:val="24"/>
          <w:highlight w:val="none"/>
          <w:lang w:eastAsia="zh-CN"/>
        </w:rPr>
      </w:pPr>
      <w:r>
        <w:rPr>
          <w:rFonts w:hint="eastAsia" w:ascii="仿宋" w:hAnsi="仿宋" w:eastAsia="仿宋" w:cs="宋体"/>
          <w:b/>
          <w:color w:val="auto"/>
          <w:kern w:val="2"/>
          <w:sz w:val="24"/>
          <w:highlight w:val="none"/>
          <w:lang w:eastAsia="zh-CN"/>
        </w:rPr>
        <w:t>五、结算、付款、调价、发票约定</w:t>
      </w:r>
    </w:p>
    <w:p w14:paraId="48B79FAF">
      <w:pPr>
        <w:framePr w:wrap="auto" w:vAnchor="margin" w:hAnchor="text" w:yAlign="inline"/>
        <w:widowControl w:val="0"/>
        <w:spacing w:line="360" w:lineRule="auto"/>
        <w:ind w:firstLine="482" w:firstLineChars="200"/>
        <w:jc w:val="both"/>
        <w:rPr>
          <w:rFonts w:hint="eastAsia" w:ascii="仿宋" w:hAnsi="仿宋" w:eastAsia="仿宋" w:cs="宋体"/>
          <w:b/>
          <w:bCs w:val="0"/>
          <w:color w:val="auto"/>
          <w:kern w:val="2"/>
          <w:sz w:val="24"/>
          <w:highlight w:val="none"/>
          <w:lang w:eastAsia="zh-CN"/>
        </w:rPr>
      </w:pPr>
      <w:r>
        <w:rPr>
          <w:rFonts w:hint="eastAsia" w:ascii="仿宋" w:hAnsi="仿宋" w:eastAsia="仿宋" w:cs="宋体"/>
          <w:b/>
          <w:bCs w:val="0"/>
          <w:color w:val="auto"/>
          <w:kern w:val="2"/>
          <w:sz w:val="24"/>
          <w:highlight w:val="none"/>
          <w:lang w:eastAsia="zh-CN"/>
        </w:rPr>
        <w:t>本合同执行签订合同5天内甲方向乙方支付合同总金额</w:t>
      </w:r>
      <w:r>
        <w:rPr>
          <w:rFonts w:hint="eastAsia" w:ascii="仿宋" w:hAnsi="仿宋" w:eastAsia="仿宋" w:cs="宋体"/>
          <w:b/>
          <w:bCs w:val="0"/>
          <w:color w:val="auto"/>
          <w:kern w:val="2"/>
          <w:sz w:val="24"/>
          <w:highlight w:val="none"/>
          <w:lang w:val="en-US" w:eastAsia="zh-CN"/>
        </w:rPr>
        <w:t>10</w:t>
      </w:r>
      <w:r>
        <w:rPr>
          <w:rFonts w:hint="eastAsia" w:ascii="仿宋" w:hAnsi="仿宋" w:eastAsia="仿宋" w:cs="宋体"/>
          <w:b/>
          <w:bCs w:val="0"/>
          <w:color w:val="auto"/>
          <w:kern w:val="2"/>
          <w:sz w:val="24"/>
          <w:highlight w:val="none"/>
          <w:lang w:eastAsia="zh-CN"/>
        </w:rPr>
        <w:t>%作为商品混凝土材料</w:t>
      </w:r>
      <w:r>
        <w:rPr>
          <w:rFonts w:hint="eastAsia" w:ascii="仿宋" w:hAnsi="仿宋" w:eastAsia="仿宋" w:cs="宋体"/>
          <w:b/>
          <w:bCs w:val="0"/>
          <w:color w:val="auto"/>
          <w:kern w:val="2"/>
          <w:sz w:val="24"/>
          <w:highlight w:val="none"/>
          <w:lang w:val="en-US" w:eastAsia="zh-CN"/>
        </w:rPr>
        <w:t>定金</w:t>
      </w:r>
      <w:r>
        <w:rPr>
          <w:rFonts w:hint="eastAsia" w:ascii="仿宋" w:hAnsi="仿宋" w:eastAsia="仿宋" w:cs="宋体"/>
          <w:b/>
          <w:bCs w:val="0"/>
          <w:color w:val="auto"/>
          <w:kern w:val="2"/>
          <w:sz w:val="24"/>
          <w:highlight w:val="none"/>
          <w:lang w:eastAsia="zh-CN"/>
        </w:rPr>
        <w:t>款，</w:t>
      </w:r>
      <w:r>
        <w:rPr>
          <w:rFonts w:hint="eastAsia" w:ascii="仿宋" w:hAnsi="仿宋" w:eastAsia="仿宋" w:cs="宋体"/>
          <w:b/>
          <w:bCs w:val="0"/>
          <w:color w:val="auto"/>
          <w:kern w:val="2"/>
          <w:sz w:val="24"/>
          <w:highlight w:val="none"/>
          <w:lang w:val="en-US" w:eastAsia="zh-CN"/>
        </w:rPr>
        <w:t>定</w:t>
      </w:r>
      <w:r>
        <w:rPr>
          <w:rFonts w:hint="eastAsia" w:ascii="仿宋" w:hAnsi="仿宋" w:eastAsia="仿宋" w:cs="宋体"/>
          <w:b/>
          <w:bCs w:val="0"/>
          <w:color w:val="auto"/>
          <w:kern w:val="2"/>
          <w:sz w:val="24"/>
          <w:highlight w:val="none"/>
          <w:lang w:eastAsia="zh-CN"/>
        </w:rPr>
        <w:t>金款从第一次结算款支付中一次性扣回。</w:t>
      </w:r>
    </w:p>
    <w:p w14:paraId="72C1C850">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ascii="仿宋" w:hAnsi="仿宋" w:eastAsia="仿宋" w:cs="宋体"/>
          <w:bCs/>
          <w:color w:val="auto"/>
          <w:kern w:val="2"/>
          <w:sz w:val="24"/>
          <w:highlight w:val="none"/>
          <w:lang w:eastAsia="zh-CN"/>
        </w:rPr>
        <w:t>1</w:t>
      </w:r>
      <w:r>
        <w:rPr>
          <w:rFonts w:hint="eastAsia" w:ascii="仿宋" w:hAnsi="仿宋" w:eastAsia="仿宋" w:cs="宋体"/>
          <w:bCs/>
          <w:color w:val="auto"/>
          <w:kern w:val="2"/>
          <w:sz w:val="24"/>
          <w:highlight w:val="none"/>
          <w:lang w:val="en-US" w:eastAsia="zh-CN"/>
        </w:rPr>
        <w:t>.</w:t>
      </w:r>
      <w:r>
        <w:rPr>
          <w:rFonts w:hint="eastAsia" w:ascii="仿宋" w:hAnsi="仿宋" w:eastAsia="仿宋" w:cs="Times New Roman"/>
          <w:color w:val="auto"/>
          <w:kern w:val="2"/>
          <w:sz w:val="24"/>
          <w:highlight w:val="none"/>
          <w:lang w:eastAsia="zh-CN"/>
        </w:rPr>
        <w:t>结算方式：每月结算前，甲乙双方对签收确认的送货单进行对账，核实并确认每期结算数量后进行结算；每月材料对账根据甲乙双方材料验收人员签字的单据进行汇总，对账汇总表由甲乙双方加盖公章及签名确认。甲方公章为项目部公章，签名确认为项目经理，非上述人员签字盖章的，甲方不予认可。最终结算以双方签名加盖公章的汇总表为准。</w:t>
      </w:r>
    </w:p>
    <w:p w14:paraId="60537C92">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原则上每月</w:t>
      </w:r>
      <w:r>
        <w:rPr>
          <w:rFonts w:hint="eastAsia" w:ascii="仿宋" w:hAnsi="仿宋" w:eastAsia="仿宋" w:cs="Times New Roman"/>
          <w:color w:val="auto"/>
          <w:kern w:val="2"/>
          <w:sz w:val="24"/>
          <w:highlight w:val="none"/>
          <w:lang w:val="en-US" w:eastAsia="zh-CN"/>
        </w:rPr>
        <w:t>25</w:t>
      </w:r>
      <w:r>
        <w:rPr>
          <w:rFonts w:hint="eastAsia" w:ascii="仿宋" w:hAnsi="仿宋" w:eastAsia="仿宋" w:cs="Times New Roman"/>
          <w:color w:val="auto"/>
          <w:kern w:val="2"/>
          <w:sz w:val="24"/>
          <w:highlight w:val="none"/>
          <w:lang w:eastAsia="zh-CN"/>
        </w:rPr>
        <w:t>日前甲方支付上月供应的混凝土货款。每月</w:t>
      </w:r>
      <w:r>
        <w:rPr>
          <w:rFonts w:ascii="仿宋" w:hAnsi="仿宋" w:eastAsia="仿宋" w:cs="Times New Roman"/>
          <w:color w:val="auto"/>
          <w:kern w:val="2"/>
          <w:sz w:val="24"/>
          <w:highlight w:val="none"/>
          <w:lang w:eastAsia="zh-CN"/>
        </w:rPr>
        <w:t>1</w:t>
      </w:r>
      <w:r>
        <w:rPr>
          <w:rFonts w:hint="eastAsia" w:ascii="仿宋" w:hAnsi="仿宋" w:eastAsia="仿宋" w:cs="Times New Roman"/>
          <w:color w:val="auto"/>
          <w:kern w:val="2"/>
          <w:sz w:val="24"/>
          <w:highlight w:val="none"/>
          <w:lang w:val="en-US" w:eastAsia="zh-CN"/>
        </w:rPr>
        <w:t>5</w:t>
      </w:r>
      <w:r>
        <w:rPr>
          <w:rFonts w:hint="eastAsia" w:ascii="仿宋" w:hAnsi="仿宋" w:eastAsia="仿宋" w:cs="Times New Roman"/>
          <w:color w:val="auto"/>
          <w:kern w:val="2"/>
          <w:sz w:val="24"/>
          <w:highlight w:val="none"/>
          <w:lang w:eastAsia="zh-CN"/>
        </w:rPr>
        <w:t>日前，甲方对</w:t>
      </w:r>
      <w:r>
        <w:rPr>
          <w:rFonts w:hint="eastAsia" w:ascii="仿宋" w:hAnsi="仿宋" w:eastAsia="仿宋" w:cs="Times New Roman"/>
          <w:color w:val="auto"/>
          <w:kern w:val="2"/>
          <w:sz w:val="24"/>
          <w:highlight w:val="none"/>
          <w:lang w:val="en-US" w:eastAsia="zh-CN"/>
        </w:rPr>
        <w:t>上月</w:t>
      </w:r>
      <w:r>
        <w:rPr>
          <w:rFonts w:hint="eastAsia" w:ascii="仿宋" w:hAnsi="仿宋" w:eastAsia="仿宋" w:cs="Times New Roman"/>
          <w:color w:val="auto"/>
          <w:kern w:val="2"/>
          <w:sz w:val="24"/>
          <w:highlight w:val="none"/>
          <w:lang w:eastAsia="zh-CN"/>
        </w:rPr>
        <w:t>混凝土结算表中所载数量及金额进行确认。若对混凝土结算表中的数量、金额存在争议，甲方应对有争议部分，双方本着实事求是的原则协商解决，但不影响无争议的结算确认及款项支付。</w:t>
      </w:r>
    </w:p>
    <w:p w14:paraId="5EF3E067">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ascii="仿宋" w:hAnsi="仿宋" w:eastAsia="仿宋" w:cs="宋体"/>
          <w:bCs/>
          <w:color w:val="auto"/>
          <w:kern w:val="2"/>
          <w:sz w:val="24"/>
          <w:highlight w:val="none"/>
          <w:lang w:eastAsia="zh-CN"/>
        </w:rPr>
        <w:t>2</w:t>
      </w:r>
      <w:r>
        <w:rPr>
          <w:rFonts w:hint="eastAsia" w:ascii="仿宋" w:hAnsi="仿宋" w:eastAsia="仿宋" w:cs="宋体"/>
          <w:bCs/>
          <w:color w:val="auto"/>
          <w:kern w:val="2"/>
          <w:sz w:val="24"/>
          <w:highlight w:val="none"/>
          <w:lang w:val="en-US" w:eastAsia="zh-CN"/>
        </w:rPr>
        <w:t>.</w:t>
      </w:r>
      <w:r>
        <w:rPr>
          <w:rFonts w:hint="eastAsia" w:ascii="仿宋" w:hAnsi="仿宋" w:eastAsia="仿宋" w:cs="Times New Roman"/>
          <w:color w:val="auto"/>
          <w:kern w:val="2"/>
          <w:sz w:val="24"/>
          <w:highlight w:val="none"/>
          <w:lang w:eastAsia="zh-CN"/>
        </w:rPr>
        <w:t>款项支付：</w:t>
      </w:r>
    </w:p>
    <w:p w14:paraId="519CEDFB">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w:t>
      </w:r>
      <w:r>
        <w:rPr>
          <w:rFonts w:ascii="仿宋" w:hAnsi="仿宋" w:eastAsia="仿宋" w:cs="Times New Roman"/>
          <w:color w:val="auto"/>
          <w:kern w:val="2"/>
          <w:sz w:val="24"/>
          <w:highlight w:val="none"/>
          <w:lang w:eastAsia="zh-CN"/>
        </w:rPr>
        <w:t>1</w:t>
      </w:r>
      <w:r>
        <w:rPr>
          <w:rFonts w:hint="eastAsia" w:ascii="仿宋" w:hAnsi="仿宋" w:eastAsia="仿宋" w:cs="Times New Roman"/>
          <w:color w:val="auto"/>
          <w:kern w:val="2"/>
          <w:sz w:val="24"/>
          <w:highlight w:val="none"/>
          <w:lang w:eastAsia="zh-CN"/>
        </w:rPr>
        <w:t>）无论本合同其他条款约定的甲方向乙方支付货款的期限是否届满，甲方在收到业主支付的备料款（或工程款）前无义务向乙方垫付相应部分货款；</w:t>
      </w:r>
    </w:p>
    <w:p w14:paraId="2AF4AA0B">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w:t>
      </w:r>
      <w:r>
        <w:rPr>
          <w:rFonts w:ascii="仿宋" w:hAnsi="仿宋" w:eastAsia="仿宋" w:cs="Times New Roman"/>
          <w:color w:val="auto"/>
          <w:kern w:val="2"/>
          <w:sz w:val="24"/>
          <w:highlight w:val="none"/>
          <w:lang w:eastAsia="zh-CN"/>
        </w:rPr>
        <w:t>2</w:t>
      </w:r>
      <w:r>
        <w:rPr>
          <w:rFonts w:hint="eastAsia" w:ascii="仿宋" w:hAnsi="仿宋" w:eastAsia="仿宋" w:cs="Times New Roman"/>
          <w:color w:val="auto"/>
          <w:kern w:val="2"/>
          <w:sz w:val="24"/>
          <w:highlight w:val="none"/>
          <w:lang w:eastAsia="zh-CN"/>
        </w:rPr>
        <w:t>）甲乙双方应及时对每期计量结算进行确认，甲方无义务向乙方垫付或预付双方已确认结算量之外的货款；</w:t>
      </w:r>
    </w:p>
    <w:p w14:paraId="70F14254">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w:t>
      </w:r>
      <w:r>
        <w:rPr>
          <w:rFonts w:ascii="仿宋" w:hAnsi="仿宋" w:eastAsia="仿宋" w:cs="Times New Roman"/>
          <w:color w:val="auto"/>
          <w:kern w:val="2"/>
          <w:sz w:val="24"/>
          <w:highlight w:val="none"/>
          <w:lang w:eastAsia="zh-CN"/>
        </w:rPr>
        <w:t>3</w:t>
      </w:r>
      <w:r>
        <w:rPr>
          <w:rFonts w:hint="eastAsia" w:ascii="仿宋" w:hAnsi="仿宋" w:eastAsia="仿宋" w:cs="Times New Roman"/>
          <w:color w:val="auto"/>
          <w:kern w:val="2"/>
          <w:sz w:val="24"/>
          <w:highlight w:val="none"/>
          <w:lang w:eastAsia="zh-CN"/>
        </w:rPr>
        <w:t>）本合同涉及的所有计量支付均由甲方支付到乙方在合同约定的银行账户，无特殊情况下，甲方不接受乙方提供的任何第三方</w:t>
      </w:r>
      <w:r>
        <w:rPr>
          <w:rFonts w:hint="eastAsia" w:ascii="仿宋" w:hAnsi="仿宋" w:eastAsia="仿宋" w:cs="Times New Roman"/>
          <w:color w:val="auto"/>
          <w:kern w:val="2"/>
          <w:sz w:val="24"/>
          <w:highlight w:val="none"/>
          <w:lang w:val="en-US" w:eastAsia="zh-CN"/>
        </w:rPr>
        <w:t>收款</w:t>
      </w:r>
      <w:r>
        <w:rPr>
          <w:rFonts w:hint="eastAsia" w:ascii="仿宋" w:hAnsi="仿宋" w:eastAsia="仿宋" w:cs="Times New Roman"/>
          <w:color w:val="auto"/>
          <w:kern w:val="2"/>
          <w:sz w:val="24"/>
          <w:highlight w:val="none"/>
          <w:lang w:eastAsia="zh-CN"/>
        </w:rPr>
        <w:t>银行账户或委托</w:t>
      </w:r>
      <w:r>
        <w:rPr>
          <w:rFonts w:hint="eastAsia" w:ascii="仿宋" w:hAnsi="仿宋" w:eastAsia="仿宋" w:cs="Times New Roman"/>
          <w:color w:val="auto"/>
          <w:kern w:val="2"/>
          <w:sz w:val="24"/>
          <w:highlight w:val="none"/>
          <w:lang w:val="en-US" w:eastAsia="zh-CN"/>
        </w:rPr>
        <w:t>收款</w:t>
      </w:r>
      <w:r>
        <w:rPr>
          <w:rFonts w:hint="eastAsia" w:ascii="仿宋" w:hAnsi="仿宋" w:eastAsia="仿宋" w:cs="Times New Roman"/>
          <w:color w:val="auto"/>
          <w:kern w:val="2"/>
          <w:sz w:val="24"/>
          <w:highlight w:val="none"/>
          <w:lang w:eastAsia="zh-CN"/>
        </w:rPr>
        <w:t>；</w:t>
      </w:r>
    </w:p>
    <w:p w14:paraId="59ED3190">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w:t>
      </w:r>
      <w:r>
        <w:rPr>
          <w:rFonts w:ascii="仿宋" w:hAnsi="仿宋" w:eastAsia="仿宋" w:cs="Times New Roman"/>
          <w:color w:val="auto"/>
          <w:kern w:val="2"/>
          <w:sz w:val="24"/>
          <w:highlight w:val="none"/>
          <w:lang w:eastAsia="zh-CN"/>
        </w:rPr>
        <w:t>4</w:t>
      </w:r>
      <w:r>
        <w:rPr>
          <w:rFonts w:hint="eastAsia" w:ascii="仿宋" w:hAnsi="仿宋" w:eastAsia="仿宋" w:cs="Times New Roman"/>
          <w:color w:val="auto"/>
          <w:kern w:val="2"/>
          <w:sz w:val="24"/>
          <w:highlight w:val="none"/>
          <w:lang w:eastAsia="zh-CN"/>
        </w:rPr>
        <w:t>）乙方同意甲方根据管理需要选择银行转账方式支付计量款项。</w:t>
      </w:r>
    </w:p>
    <w:p w14:paraId="34CEE3B3">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w:t>
      </w:r>
      <w:r>
        <w:rPr>
          <w:rFonts w:hint="eastAsia" w:ascii="仿宋" w:hAnsi="仿宋" w:eastAsia="仿宋" w:cs="Times New Roman"/>
          <w:color w:val="auto"/>
          <w:kern w:val="2"/>
          <w:sz w:val="24"/>
          <w:highlight w:val="none"/>
          <w:lang w:val="en-US" w:eastAsia="zh-CN"/>
        </w:rPr>
        <w:t>.</w:t>
      </w:r>
      <w:r>
        <w:rPr>
          <w:rFonts w:hint="eastAsia" w:ascii="仿宋" w:hAnsi="仿宋" w:eastAsia="仿宋" w:cs="Times New Roman"/>
          <w:color w:val="auto"/>
          <w:kern w:val="2"/>
          <w:sz w:val="24"/>
          <w:highlight w:val="none"/>
          <w:lang w:eastAsia="zh-CN"/>
        </w:rPr>
        <w:t>款项支付比例：</w:t>
      </w:r>
    </w:p>
    <w:p w14:paraId="44FAAA86">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每期结算支付的材料款的比例为</w:t>
      </w:r>
      <w:r>
        <w:rPr>
          <w:rFonts w:ascii="仿宋" w:hAnsi="仿宋" w:eastAsia="仿宋" w:cs="Times New Roman"/>
          <w:b/>
          <w:bCs/>
          <w:color w:val="auto"/>
          <w:kern w:val="2"/>
          <w:sz w:val="24"/>
          <w:highlight w:val="none"/>
          <w:u w:val="single"/>
          <w:lang w:eastAsia="zh-CN"/>
        </w:rPr>
        <w:t xml:space="preserve"> </w:t>
      </w:r>
      <w:r>
        <w:rPr>
          <w:rFonts w:hint="eastAsia" w:ascii="仿宋" w:hAnsi="仿宋" w:eastAsia="仿宋" w:cs="Times New Roman"/>
          <w:b/>
          <w:bCs/>
          <w:color w:val="auto"/>
          <w:kern w:val="2"/>
          <w:sz w:val="24"/>
          <w:highlight w:val="none"/>
          <w:u w:val="single"/>
          <w:lang w:val="en-US" w:eastAsia="zh-CN"/>
        </w:rPr>
        <w:t xml:space="preserve"> </w:t>
      </w:r>
      <w:r>
        <w:rPr>
          <w:rFonts w:ascii="仿宋" w:hAnsi="仿宋" w:eastAsia="仿宋" w:cs="Times New Roman"/>
          <w:color w:val="auto"/>
          <w:kern w:val="2"/>
          <w:sz w:val="24"/>
          <w:highlight w:val="none"/>
          <w:u w:val="single"/>
          <w:lang w:eastAsia="zh-CN"/>
        </w:rPr>
        <w:t xml:space="preserve"> </w:t>
      </w:r>
      <w:r>
        <w:rPr>
          <w:rFonts w:ascii="仿宋" w:hAnsi="仿宋" w:eastAsia="仿宋" w:cs="Times New Roman"/>
          <w:color w:val="auto"/>
          <w:kern w:val="2"/>
          <w:sz w:val="24"/>
          <w:highlight w:val="none"/>
          <w:lang w:eastAsia="zh-CN"/>
        </w:rPr>
        <w:t>%</w:t>
      </w:r>
      <w:r>
        <w:rPr>
          <w:rFonts w:hint="eastAsia" w:ascii="仿宋" w:hAnsi="仿宋" w:eastAsia="仿宋" w:cs="Times New Roman"/>
          <w:color w:val="auto"/>
          <w:kern w:val="2"/>
          <w:sz w:val="24"/>
          <w:highlight w:val="none"/>
          <w:lang w:eastAsia="zh-CN"/>
        </w:rPr>
        <w:t>。在甲方工程项目</w:t>
      </w:r>
      <w:r>
        <w:rPr>
          <w:rFonts w:hint="eastAsia" w:ascii="仿宋" w:hAnsi="仿宋" w:eastAsia="仿宋" w:cs="Times New Roman"/>
          <w:color w:val="auto"/>
          <w:kern w:val="2"/>
          <w:sz w:val="24"/>
          <w:highlight w:val="none"/>
          <w:lang w:val="en-US" w:eastAsia="zh-CN"/>
        </w:rPr>
        <w:t>竣工</w:t>
      </w:r>
      <w:r>
        <w:rPr>
          <w:rFonts w:hint="eastAsia" w:ascii="仿宋" w:hAnsi="仿宋" w:eastAsia="仿宋" w:cs="Times New Roman"/>
          <w:color w:val="auto"/>
          <w:kern w:val="2"/>
          <w:sz w:val="24"/>
          <w:highlight w:val="none"/>
          <w:lang w:eastAsia="zh-CN"/>
        </w:rPr>
        <w:t>验收后</w:t>
      </w:r>
      <w:r>
        <w:rPr>
          <w:rFonts w:hint="eastAsia" w:ascii="仿宋" w:hAnsi="仿宋" w:eastAsia="仿宋" w:cs="Times New Roman"/>
          <w:color w:val="auto"/>
          <w:kern w:val="2"/>
          <w:sz w:val="24"/>
          <w:highlight w:val="none"/>
          <w:lang w:val="en-US" w:eastAsia="zh-CN"/>
        </w:rPr>
        <w:t>六个月后且办理完成</w:t>
      </w:r>
      <w:r>
        <w:rPr>
          <w:rFonts w:hint="eastAsia" w:ascii="仿宋" w:hAnsi="仿宋" w:eastAsia="仿宋" w:cs="Times New Roman"/>
          <w:color w:val="auto"/>
          <w:kern w:val="2"/>
          <w:sz w:val="24"/>
          <w:highlight w:val="none"/>
          <w:lang w:eastAsia="zh-CN"/>
        </w:rPr>
        <w:t>最终结算，</w:t>
      </w:r>
      <w:r>
        <w:rPr>
          <w:rFonts w:hint="eastAsia" w:ascii="仿宋" w:hAnsi="仿宋" w:eastAsia="仿宋" w:cs="Times New Roman"/>
          <w:color w:val="auto"/>
          <w:kern w:val="2"/>
          <w:sz w:val="24"/>
          <w:highlight w:val="none"/>
          <w:lang w:val="en-US" w:eastAsia="zh-CN"/>
        </w:rPr>
        <w:t>甲方</w:t>
      </w:r>
      <w:r>
        <w:rPr>
          <w:rFonts w:hint="eastAsia" w:ascii="仿宋" w:hAnsi="仿宋" w:eastAsia="仿宋" w:cs="Times New Roman"/>
          <w:color w:val="auto"/>
          <w:kern w:val="2"/>
          <w:sz w:val="24"/>
          <w:highlight w:val="none"/>
          <w:lang w:eastAsia="zh-CN"/>
        </w:rPr>
        <w:t>支付剩余材料款项至乙方。</w:t>
      </w:r>
    </w:p>
    <w:p w14:paraId="7EE71C5C">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在交工验收前因乙方原因而需对工程进行修复所发生的费用及违约金、处罚等，甲方有权在应付款项中做相应扣款，如仍不能弥补甲方损失的，甲方可对乙方进行追偿。追偿的金额包括但不限于直接损失、间接损失、诉讼费、保全费、律师代理费等。</w:t>
      </w:r>
    </w:p>
    <w:p w14:paraId="0A48ACBD">
      <w:pPr>
        <w:framePr w:wrap="auto" w:vAnchor="margin" w:hAnchor="text" w:yAlign="inline"/>
        <w:widowControl w:val="0"/>
        <w:spacing w:line="360" w:lineRule="auto"/>
        <w:ind w:firstLine="480" w:firstLineChars="200"/>
        <w:jc w:val="both"/>
        <w:rPr>
          <w:rFonts w:ascii="仿宋" w:hAnsi="仿宋" w:eastAsia="仿宋" w:cs="宋体"/>
          <w:bCs/>
          <w:color w:val="auto"/>
          <w:kern w:val="2"/>
          <w:sz w:val="24"/>
          <w:highlight w:val="none"/>
          <w:lang w:eastAsia="zh-CN"/>
        </w:rPr>
      </w:pPr>
      <w:r>
        <w:rPr>
          <w:rFonts w:hint="eastAsia" w:ascii="仿宋" w:hAnsi="仿宋" w:eastAsia="仿宋" w:cs="Times New Roman"/>
          <w:color w:val="auto"/>
          <w:kern w:val="2"/>
          <w:sz w:val="24"/>
          <w:highlight w:val="none"/>
          <w:lang w:eastAsia="zh-CN"/>
        </w:rPr>
        <w:t>4</w:t>
      </w:r>
      <w:r>
        <w:rPr>
          <w:rFonts w:hint="eastAsia" w:ascii="仿宋" w:hAnsi="仿宋" w:eastAsia="仿宋" w:cs="Times New Roman"/>
          <w:color w:val="auto"/>
          <w:kern w:val="2"/>
          <w:sz w:val="24"/>
          <w:highlight w:val="none"/>
          <w:lang w:val="en-US" w:eastAsia="zh-CN"/>
        </w:rPr>
        <w:t>.</w:t>
      </w:r>
      <w:r>
        <w:rPr>
          <w:rFonts w:hint="eastAsia" w:ascii="仿宋" w:hAnsi="仿宋" w:eastAsia="仿宋" w:cs="Times New Roman"/>
          <w:color w:val="auto"/>
          <w:kern w:val="2"/>
          <w:sz w:val="24"/>
          <w:highlight w:val="none"/>
          <w:lang w:eastAsia="zh-CN"/>
        </w:rPr>
        <w:t>乙方至少应有</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single"/>
          <w:lang w:eastAsia="zh-CN"/>
        </w:rPr>
        <w:t>万</w:t>
      </w:r>
      <w:r>
        <w:rPr>
          <w:rFonts w:hint="eastAsia" w:ascii="仿宋" w:hAnsi="仿宋" w:eastAsia="仿宋" w:cs="Times New Roman"/>
          <w:color w:val="auto"/>
          <w:kern w:val="2"/>
          <w:sz w:val="24"/>
          <w:highlight w:val="none"/>
          <w:lang w:eastAsia="zh-CN"/>
        </w:rPr>
        <w:t>元以上的垫付能力，以确保甲方资金周转困难时，乙方能保证商品混凝土的正常供应；</w:t>
      </w:r>
    </w:p>
    <w:p w14:paraId="33A30308">
      <w:pPr>
        <w:framePr w:wrap="auto" w:vAnchor="margin" w:hAnchor="text" w:yAlign="inline"/>
        <w:widowControl w:val="0"/>
        <w:spacing w:line="360" w:lineRule="auto"/>
        <w:ind w:firstLine="480" w:firstLineChars="200"/>
        <w:jc w:val="both"/>
        <w:rPr>
          <w:rFonts w:hint="default" w:ascii="仿宋" w:hAnsi="仿宋" w:eastAsia="仿宋" w:cs="宋体"/>
          <w:bCs/>
          <w:color w:val="auto"/>
          <w:kern w:val="2"/>
          <w:sz w:val="24"/>
          <w:highlight w:val="none"/>
          <w:lang w:val="en-US" w:eastAsia="zh-CN"/>
        </w:rPr>
      </w:pPr>
      <w:r>
        <w:rPr>
          <w:rFonts w:hint="eastAsia" w:ascii="仿宋" w:hAnsi="仿宋" w:eastAsia="仿宋" w:cs="宋体"/>
          <w:bCs/>
          <w:color w:val="auto"/>
          <w:kern w:val="2"/>
          <w:sz w:val="24"/>
          <w:highlight w:val="none"/>
          <w:lang w:eastAsia="zh-CN"/>
        </w:rPr>
        <w:t>5</w:t>
      </w:r>
      <w:r>
        <w:rPr>
          <w:rFonts w:hint="eastAsia" w:ascii="仿宋" w:hAnsi="仿宋" w:eastAsia="仿宋" w:cs="宋体"/>
          <w:bCs/>
          <w:color w:val="auto"/>
          <w:kern w:val="2"/>
          <w:sz w:val="24"/>
          <w:highlight w:val="none"/>
          <w:lang w:val="en-US" w:eastAsia="zh-CN"/>
        </w:rPr>
        <w:t>.</w:t>
      </w:r>
      <w:r>
        <w:rPr>
          <w:rFonts w:hint="eastAsia" w:ascii="仿宋" w:hAnsi="仿宋" w:eastAsia="仿宋" w:cs="宋体"/>
          <w:bCs/>
          <w:color w:val="auto"/>
          <w:kern w:val="2"/>
          <w:sz w:val="24"/>
          <w:highlight w:val="none"/>
          <w:lang w:eastAsia="zh-CN"/>
        </w:rPr>
        <w:t>供料期间，</w:t>
      </w:r>
      <w:r>
        <w:rPr>
          <w:rFonts w:hint="eastAsia" w:ascii="仿宋" w:hAnsi="仿宋" w:eastAsia="仿宋" w:cs="宋体"/>
          <w:bCs/>
          <w:color w:val="auto"/>
          <w:kern w:val="2"/>
          <w:sz w:val="24"/>
          <w:highlight w:val="none"/>
          <w:lang w:val="en-US" w:eastAsia="zh-CN"/>
        </w:rPr>
        <w:t>如混凝土原材价格浮动±5%，</w:t>
      </w:r>
      <w:r>
        <w:rPr>
          <w:rFonts w:hint="eastAsia" w:ascii="仿宋" w:hAnsi="仿宋" w:eastAsia="仿宋" w:cs="宋体"/>
          <w:bCs/>
          <w:color w:val="auto"/>
          <w:kern w:val="2"/>
          <w:sz w:val="24"/>
          <w:highlight w:val="none"/>
          <w:lang w:eastAsia="zh-CN"/>
        </w:rPr>
        <w:t>需要调价时，</w:t>
      </w:r>
      <w:r>
        <w:rPr>
          <w:rFonts w:hint="eastAsia" w:ascii="仿宋" w:hAnsi="仿宋" w:eastAsia="仿宋" w:cs="宋体"/>
          <w:bCs/>
          <w:color w:val="auto"/>
          <w:kern w:val="2"/>
          <w:sz w:val="24"/>
          <w:highlight w:val="none"/>
          <w:lang w:val="en-US" w:eastAsia="zh-CN"/>
        </w:rPr>
        <w:t>调价一方</w:t>
      </w:r>
      <w:r>
        <w:rPr>
          <w:rFonts w:hint="eastAsia" w:ascii="仿宋" w:hAnsi="仿宋" w:eastAsia="仿宋" w:cs="宋体"/>
          <w:bCs/>
          <w:color w:val="auto"/>
          <w:kern w:val="2"/>
          <w:sz w:val="24"/>
          <w:highlight w:val="none"/>
          <w:lang w:eastAsia="zh-CN"/>
        </w:rPr>
        <w:t>应以书面形式与对方协商，</w:t>
      </w:r>
      <w:r>
        <w:rPr>
          <w:rFonts w:hint="eastAsia" w:ascii="仿宋" w:hAnsi="仿宋" w:eastAsia="仿宋" w:cs="宋体"/>
          <w:bCs/>
          <w:color w:val="auto"/>
          <w:kern w:val="2"/>
          <w:sz w:val="24"/>
          <w:highlight w:val="none"/>
          <w:lang w:val="en-US" w:eastAsia="zh-CN"/>
        </w:rPr>
        <w:t>经双方确认同意后另作补充协议调整</w:t>
      </w:r>
      <w:r>
        <w:rPr>
          <w:rFonts w:hint="eastAsia" w:ascii="仿宋" w:hAnsi="仿宋" w:eastAsia="仿宋" w:cs="宋体"/>
          <w:bCs/>
          <w:color w:val="auto"/>
          <w:kern w:val="2"/>
          <w:sz w:val="24"/>
          <w:highlight w:val="none"/>
          <w:lang w:eastAsia="zh-CN"/>
        </w:rPr>
        <w:t>。如协商不成，需方有权停止要货，</w:t>
      </w:r>
      <w:r>
        <w:rPr>
          <w:rFonts w:hint="eastAsia" w:ascii="仿宋" w:hAnsi="仿宋" w:eastAsia="仿宋" w:cs="宋体"/>
          <w:bCs/>
          <w:color w:val="auto"/>
          <w:kern w:val="2"/>
          <w:sz w:val="24"/>
          <w:highlight w:val="none"/>
          <w:lang w:val="en-US" w:eastAsia="zh-CN"/>
        </w:rPr>
        <w:t>并另行选择其他供应商，</w:t>
      </w:r>
      <w:r>
        <w:rPr>
          <w:rFonts w:hint="eastAsia" w:ascii="仿宋" w:hAnsi="仿宋" w:eastAsia="仿宋" w:cs="宋体"/>
          <w:bCs/>
          <w:color w:val="auto"/>
          <w:kern w:val="2"/>
          <w:sz w:val="24"/>
          <w:highlight w:val="none"/>
          <w:lang w:eastAsia="zh-CN"/>
        </w:rPr>
        <w:t>供方</w:t>
      </w:r>
      <w:r>
        <w:rPr>
          <w:rFonts w:hint="eastAsia" w:ascii="仿宋" w:hAnsi="仿宋" w:eastAsia="仿宋" w:cs="宋体"/>
          <w:bCs/>
          <w:color w:val="auto"/>
          <w:kern w:val="2"/>
          <w:sz w:val="24"/>
          <w:highlight w:val="none"/>
          <w:lang w:val="en-US" w:eastAsia="zh-CN"/>
        </w:rPr>
        <w:t>无权追究其责任；需方</w:t>
      </w:r>
      <w:r>
        <w:rPr>
          <w:rFonts w:hint="eastAsia" w:ascii="仿宋" w:hAnsi="仿宋" w:eastAsia="仿宋" w:cs="宋体"/>
          <w:bCs/>
          <w:color w:val="auto"/>
          <w:kern w:val="2"/>
          <w:sz w:val="24"/>
          <w:highlight w:val="none"/>
          <w:lang w:eastAsia="zh-CN"/>
        </w:rPr>
        <w:t>亦有权停止供货，</w:t>
      </w:r>
      <w:r>
        <w:rPr>
          <w:rFonts w:hint="eastAsia" w:ascii="仿宋" w:hAnsi="仿宋" w:eastAsia="仿宋" w:cs="宋体"/>
          <w:bCs/>
          <w:color w:val="auto"/>
          <w:kern w:val="2"/>
          <w:sz w:val="24"/>
          <w:highlight w:val="none"/>
          <w:lang w:val="en-US" w:eastAsia="zh-CN"/>
        </w:rPr>
        <w:t>合同自双方结清货款后终止。</w:t>
      </w:r>
    </w:p>
    <w:p w14:paraId="184B1A1E">
      <w:pPr>
        <w:framePr w:wrap="auto" w:vAnchor="margin" w:hAnchor="text" w:yAlign="inline"/>
        <w:widowControl w:val="0"/>
        <w:spacing w:line="360" w:lineRule="auto"/>
        <w:ind w:firstLine="480" w:firstLineChars="200"/>
        <w:jc w:val="both"/>
        <w:rPr>
          <w:rFonts w:ascii="仿宋" w:hAnsi="仿宋" w:eastAsia="仿宋" w:cs="宋体"/>
          <w:bCs/>
          <w:color w:val="auto"/>
          <w:kern w:val="2"/>
          <w:sz w:val="24"/>
          <w:highlight w:val="none"/>
          <w:lang w:eastAsia="zh-CN"/>
        </w:rPr>
      </w:pPr>
      <w:r>
        <w:rPr>
          <w:rFonts w:hint="eastAsia" w:ascii="仿宋" w:hAnsi="仿宋" w:eastAsia="仿宋" w:cs="宋体"/>
          <w:bCs/>
          <w:color w:val="auto"/>
          <w:kern w:val="2"/>
          <w:sz w:val="24"/>
          <w:highlight w:val="none"/>
          <w:lang w:eastAsia="zh-CN"/>
        </w:rPr>
        <w:t>6</w:t>
      </w:r>
      <w:r>
        <w:rPr>
          <w:rFonts w:hint="eastAsia" w:ascii="仿宋" w:hAnsi="仿宋" w:eastAsia="仿宋" w:cs="宋体"/>
          <w:bCs/>
          <w:color w:val="auto"/>
          <w:kern w:val="2"/>
          <w:sz w:val="24"/>
          <w:highlight w:val="none"/>
          <w:lang w:val="en-US" w:eastAsia="zh-CN"/>
        </w:rPr>
        <w:t>.</w:t>
      </w:r>
      <w:r>
        <w:rPr>
          <w:rFonts w:hint="eastAsia" w:ascii="仿宋" w:hAnsi="仿宋" w:eastAsia="仿宋" w:cs="Times New Roman"/>
          <w:color w:val="auto"/>
          <w:kern w:val="2"/>
          <w:sz w:val="24"/>
          <w:highlight w:val="none"/>
          <w:lang w:eastAsia="zh-CN"/>
        </w:rPr>
        <w:t>发票的提供</w:t>
      </w:r>
    </w:p>
    <w:p w14:paraId="08C10518">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（1）乙方应在每期结算确认后，在甲方资金支付前，根据合同内容和结算书内容向甲方出具相应增值税发票。以上条件不满足时，乙方不得向甲方申请支付款项，甲方有权停止支付且由乙方自身承担资金风险。</w:t>
      </w:r>
    </w:p>
    <w:p w14:paraId="62C497F0">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（2）乙方出具发票需同时满足以下原则：</w:t>
      </w:r>
    </w:p>
    <w:p w14:paraId="094D4EAC">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bCs/>
          <w:color w:val="auto"/>
          <w:kern w:val="2"/>
          <w:sz w:val="24"/>
          <w:highlight w:val="none"/>
          <w:lang w:eastAsia="zh-CN"/>
        </w:rPr>
        <w:t>①</w:t>
      </w:r>
      <w:r>
        <w:rPr>
          <w:rFonts w:hint="eastAsia" w:ascii="仿宋" w:hAnsi="仿宋" w:eastAsia="仿宋" w:cs="Times New Roman"/>
          <w:color w:val="auto"/>
          <w:kern w:val="2"/>
          <w:sz w:val="24"/>
          <w:highlight w:val="none"/>
          <w:lang w:eastAsia="zh-CN"/>
        </w:rPr>
        <w:t>发票金额</w:t>
      </w:r>
    </w:p>
    <w:p w14:paraId="01592330">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乙方向甲方开具发票的金额（价税合计）需严格依据“累计确认结算量与资金支付量孰高原则”。</w:t>
      </w:r>
    </w:p>
    <w:p w14:paraId="4D00B680">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bCs/>
          <w:color w:val="auto"/>
          <w:kern w:val="2"/>
          <w:sz w:val="24"/>
          <w:highlight w:val="none"/>
          <w:lang w:eastAsia="zh-CN"/>
        </w:rPr>
        <w:t>②</w:t>
      </w:r>
      <w:r>
        <w:rPr>
          <w:rFonts w:hint="eastAsia" w:ascii="仿宋" w:hAnsi="仿宋" w:eastAsia="仿宋" w:cs="Times New Roman"/>
          <w:color w:val="auto"/>
          <w:kern w:val="2"/>
          <w:sz w:val="24"/>
          <w:highlight w:val="none"/>
          <w:lang w:eastAsia="zh-CN"/>
        </w:rPr>
        <w:t>票面信息</w:t>
      </w:r>
    </w:p>
    <w:p w14:paraId="5E2787AE">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bCs/>
          <w:color w:val="auto"/>
          <w:kern w:val="2"/>
          <w:sz w:val="24"/>
          <w:highlight w:val="none"/>
          <w:lang w:eastAsia="zh-CN"/>
        </w:rPr>
        <w:t>发票票面记载信息需符合“</w:t>
      </w:r>
      <w:r>
        <w:rPr>
          <w:rFonts w:hint="eastAsia" w:ascii="仿宋" w:hAnsi="仿宋" w:eastAsia="仿宋" w:cs="Times New Roman"/>
          <w:bCs/>
          <w:color w:val="auto"/>
          <w:kern w:val="2"/>
          <w:sz w:val="24"/>
          <w:highlight w:val="none"/>
          <w:lang w:val="en-US" w:eastAsia="zh-CN"/>
        </w:rPr>
        <w:t>四</w:t>
      </w:r>
      <w:r>
        <w:rPr>
          <w:rFonts w:hint="eastAsia" w:ascii="仿宋" w:hAnsi="仿宋" w:eastAsia="仿宋" w:cs="Times New Roman"/>
          <w:bCs/>
          <w:color w:val="auto"/>
          <w:kern w:val="2"/>
          <w:sz w:val="24"/>
          <w:highlight w:val="none"/>
          <w:lang w:eastAsia="zh-CN"/>
        </w:rPr>
        <w:t>流一致”原则，包括：</w:t>
      </w:r>
      <w:r>
        <w:rPr>
          <w:rFonts w:hint="eastAsia" w:ascii="仿宋" w:hAnsi="仿宋" w:eastAsia="仿宋" w:cs="Times New Roman"/>
          <w:bCs/>
          <w:color w:val="auto"/>
          <w:kern w:val="2"/>
          <w:sz w:val="24"/>
          <w:highlight w:val="none"/>
          <w:lang w:val="en-US" w:eastAsia="zh-CN"/>
        </w:rPr>
        <w:t>A.</w:t>
      </w:r>
      <w:r>
        <w:rPr>
          <w:rFonts w:hint="eastAsia" w:ascii="仿宋" w:hAnsi="仿宋" w:eastAsia="仿宋" w:cs="Times New Roman"/>
          <w:bCs/>
          <w:color w:val="auto"/>
          <w:kern w:val="2"/>
          <w:sz w:val="24"/>
          <w:highlight w:val="none"/>
          <w:lang w:eastAsia="zh-CN"/>
        </w:rPr>
        <w:t>销售方信息需与货物或应税劳务、服务实际提供单位（即乙方）一致，并与实际收款人（即乙方）一致；</w:t>
      </w:r>
      <w:r>
        <w:rPr>
          <w:rFonts w:hint="eastAsia" w:ascii="仿宋" w:hAnsi="仿宋" w:eastAsia="仿宋" w:cs="Times New Roman"/>
          <w:bCs/>
          <w:color w:val="auto"/>
          <w:kern w:val="2"/>
          <w:sz w:val="24"/>
          <w:highlight w:val="none"/>
          <w:lang w:val="en-US" w:eastAsia="zh-CN"/>
        </w:rPr>
        <w:t>B.</w:t>
      </w:r>
      <w:r>
        <w:rPr>
          <w:rFonts w:hint="eastAsia" w:ascii="仿宋" w:hAnsi="仿宋" w:eastAsia="仿宋" w:cs="Times New Roman"/>
          <w:bCs/>
          <w:color w:val="auto"/>
          <w:kern w:val="2"/>
          <w:sz w:val="24"/>
          <w:highlight w:val="none"/>
          <w:lang w:eastAsia="zh-CN"/>
        </w:rPr>
        <w:t>货物或应税劳务、服务名称等需与实际业务内容一致。</w:t>
      </w:r>
      <w:r>
        <w:rPr>
          <w:rFonts w:hint="eastAsia" w:ascii="仿宋" w:hAnsi="仿宋" w:eastAsia="仿宋" w:cs="Times New Roman"/>
          <w:bCs/>
          <w:color w:val="auto"/>
          <w:kern w:val="2"/>
          <w:sz w:val="24"/>
          <w:highlight w:val="none"/>
          <w:lang w:val="en-US" w:eastAsia="zh-CN"/>
        </w:rPr>
        <w:t>C.</w:t>
      </w:r>
      <w:r>
        <w:rPr>
          <w:rFonts w:hint="eastAsia" w:ascii="仿宋" w:hAnsi="仿宋" w:eastAsia="仿宋" w:cs="Times New Roman"/>
          <w:bCs/>
          <w:color w:val="auto"/>
          <w:kern w:val="2"/>
          <w:sz w:val="24"/>
          <w:highlight w:val="none"/>
          <w:lang w:eastAsia="zh-CN"/>
        </w:rPr>
        <w:t>税率、税额信息与本合同单列的增值税税率、税额一致。</w:t>
      </w:r>
      <w:r>
        <w:rPr>
          <w:rFonts w:hint="eastAsia" w:ascii="仿宋" w:hAnsi="仿宋" w:eastAsia="仿宋" w:cs="Times New Roman"/>
          <w:bCs/>
          <w:color w:val="auto"/>
          <w:kern w:val="2"/>
          <w:sz w:val="24"/>
          <w:highlight w:val="none"/>
          <w:lang w:val="en-US" w:eastAsia="zh-CN"/>
        </w:rPr>
        <w:t>D.</w:t>
      </w:r>
      <w:r>
        <w:rPr>
          <w:rFonts w:hint="eastAsia" w:ascii="仿宋" w:hAnsi="仿宋" w:eastAsia="仿宋" w:cs="Times New Roman"/>
          <w:color w:val="auto"/>
          <w:kern w:val="2"/>
          <w:sz w:val="24"/>
          <w:highlight w:val="none"/>
          <w:lang w:eastAsia="zh-CN"/>
        </w:rPr>
        <w:t>发票类别（增值税专用发票或普通发票）与本项目的计税方法（一般计税方法或简易计税方法）匹配。</w:t>
      </w:r>
    </w:p>
    <w:p w14:paraId="03CCC569">
      <w:pPr>
        <w:framePr w:wrap="auto" w:vAnchor="margin" w:hAnchor="text" w:yAlign="inline"/>
        <w:widowControl w:val="0"/>
        <w:spacing w:line="360" w:lineRule="auto"/>
        <w:ind w:firstLine="480" w:firstLineChars="200"/>
        <w:jc w:val="left"/>
        <w:rPr>
          <w:rFonts w:ascii="仿宋" w:hAnsi="仿宋" w:eastAsia="仿宋" w:cs="宋体"/>
          <w:color w:val="auto"/>
          <w:kern w:val="2"/>
          <w:sz w:val="24"/>
          <w:highlight w:val="none"/>
          <w:lang w:eastAsia="zh-CN"/>
        </w:rPr>
      </w:pPr>
      <w:r>
        <w:rPr>
          <w:rFonts w:hint="eastAsia" w:ascii="仿宋" w:hAnsi="仿宋" w:eastAsia="仿宋" w:cs="宋体"/>
          <w:color w:val="auto"/>
          <w:kern w:val="2"/>
          <w:sz w:val="24"/>
          <w:highlight w:val="none"/>
          <w:lang w:eastAsia="zh-CN"/>
        </w:rPr>
        <w:t>（3）发票提供的责任</w:t>
      </w:r>
    </w:p>
    <w:p w14:paraId="04B83057">
      <w:pPr>
        <w:framePr w:wrap="auto" w:vAnchor="margin" w:hAnchor="text" w:yAlign="inline"/>
        <w:widowControl w:val="0"/>
        <w:spacing w:line="360" w:lineRule="auto"/>
        <w:ind w:firstLine="480" w:firstLineChars="200"/>
        <w:jc w:val="left"/>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乙方应对提供的发票真实性负责。甲方对乙方实行“一票否决制”，即：如乙方提供非法发票，甲方将不再与乙方进行任何其他合作。乙方提供非法发票，包括以下几种情形：乙方非有意提供假发票，经甲方提醒仍提供假发票的；乙方有意提供假发票的。如因乙方提供非法发票，甲方未及时识别，导致甲方</w:t>
      </w:r>
      <w:r>
        <w:rPr>
          <w:rFonts w:hint="eastAsia" w:ascii="仿宋" w:hAnsi="仿宋" w:eastAsia="仿宋" w:cs="Times New Roman"/>
          <w:color w:val="auto"/>
          <w:kern w:val="2"/>
          <w:sz w:val="24"/>
          <w:highlight w:val="none"/>
          <w:lang w:val="en-US" w:eastAsia="zh-CN"/>
        </w:rPr>
        <w:t>利益受损</w:t>
      </w:r>
      <w:r>
        <w:rPr>
          <w:rFonts w:hint="eastAsia" w:ascii="仿宋" w:hAnsi="仿宋" w:eastAsia="仿宋" w:cs="Times New Roman"/>
          <w:color w:val="auto"/>
          <w:kern w:val="2"/>
          <w:sz w:val="24"/>
          <w:highlight w:val="none"/>
          <w:lang w:eastAsia="zh-CN"/>
        </w:rPr>
        <w:t>的，全部损失由乙方承担。</w:t>
      </w:r>
    </w:p>
    <w:p w14:paraId="06834ED8">
      <w:pPr>
        <w:framePr w:wrap="auto" w:vAnchor="margin" w:hAnchor="text" w:yAlign="inline"/>
        <w:widowControl w:val="0"/>
        <w:spacing w:line="360" w:lineRule="auto"/>
        <w:ind w:firstLine="480" w:firstLineChars="200"/>
        <w:jc w:val="left"/>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乙方提供的发票被税务机关通知存在失联状况、异常状况、虚开发票、进项转出等情况的，按以下三项同时处理：</w:t>
      </w:r>
    </w:p>
    <w:p w14:paraId="21B4C798">
      <w:pPr>
        <w:framePr w:wrap="auto" w:vAnchor="margin" w:hAnchor="text" w:yAlign="inline"/>
        <w:widowControl w:val="0"/>
        <w:numPr>
          <w:ilvl w:val="0"/>
          <w:numId w:val="3"/>
        </w:numPr>
        <w:spacing w:line="360" w:lineRule="auto"/>
        <w:ind w:firstLine="480" w:firstLineChars="200"/>
        <w:jc w:val="left"/>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对应进项税额立即转出，并赔偿相应税款；</w:t>
      </w:r>
    </w:p>
    <w:p w14:paraId="23884720">
      <w:pPr>
        <w:framePr w:wrap="auto" w:vAnchor="margin" w:hAnchor="text" w:yAlign="inline"/>
        <w:widowControl w:val="0"/>
        <w:numPr>
          <w:ilvl w:val="0"/>
          <w:numId w:val="3"/>
        </w:numPr>
        <w:spacing w:line="360" w:lineRule="auto"/>
        <w:ind w:left="0" w:leftChars="0" w:firstLine="480" w:firstLineChars="200"/>
        <w:jc w:val="left"/>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成本全额转出，相应款项已支付的，需全额追回或扣留相同金额款项；未支付的，不再予以支付；</w:t>
      </w:r>
    </w:p>
    <w:p w14:paraId="04F4E689">
      <w:pPr>
        <w:framePr w:wrap="auto" w:vAnchor="margin" w:hAnchor="text" w:yAlign="inline"/>
        <w:widowControl w:val="0"/>
        <w:numPr>
          <w:ilvl w:val="0"/>
          <w:numId w:val="0"/>
        </w:numPr>
        <w:spacing w:line="360" w:lineRule="auto"/>
        <w:ind w:leftChars="200"/>
        <w:jc w:val="left"/>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w:t>
      </w:r>
      <w:r>
        <w:rPr>
          <w:rFonts w:hint="eastAsia" w:ascii="仿宋" w:hAnsi="仿宋" w:eastAsia="仿宋" w:cs="Times New Roman"/>
          <w:color w:val="auto"/>
          <w:kern w:val="2"/>
          <w:sz w:val="24"/>
          <w:highlight w:val="none"/>
          <w:lang w:val="en-US" w:eastAsia="zh-CN"/>
        </w:rPr>
        <w:t>3</w:t>
      </w:r>
      <w:r>
        <w:rPr>
          <w:rFonts w:hint="eastAsia" w:ascii="仿宋" w:hAnsi="仿宋" w:eastAsia="仿宋" w:cs="Times New Roman"/>
          <w:color w:val="auto"/>
          <w:kern w:val="2"/>
          <w:sz w:val="24"/>
          <w:highlight w:val="none"/>
          <w:lang w:eastAsia="zh-CN"/>
        </w:rPr>
        <w:t>）</w:t>
      </w:r>
      <w:r>
        <w:rPr>
          <w:rFonts w:hint="eastAsia" w:ascii="仿宋" w:hAnsi="仿宋" w:eastAsia="仿宋" w:cs="Times New Roman"/>
          <w:color w:val="auto"/>
          <w:kern w:val="2"/>
          <w:sz w:val="24"/>
          <w:highlight w:val="none"/>
          <w:lang w:val="en-US" w:eastAsia="zh-CN"/>
        </w:rPr>
        <w:t>赔偿</w:t>
      </w:r>
      <w:r>
        <w:rPr>
          <w:rFonts w:hint="eastAsia" w:ascii="仿宋" w:hAnsi="仿宋" w:eastAsia="仿宋" w:cs="Times New Roman"/>
          <w:color w:val="auto"/>
          <w:kern w:val="2"/>
          <w:sz w:val="24"/>
          <w:highlight w:val="none"/>
          <w:lang w:eastAsia="zh-CN"/>
        </w:rPr>
        <w:t>相应进项税额3倍的</w:t>
      </w:r>
      <w:r>
        <w:rPr>
          <w:rFonts w:hint="eastAsia" w:ascii="仿宋" w:hAnsi="仿宋" w:eastAsia="仿宋" w:cs="Times New Roman"/>
          <w:color w:val="auto"/>
          <w:kern w:val="2"/>
          <w:sz w:val="24"/>
          <w:highlight w:val="none"/>
          <w:lang w:val="en-US" w:eastAsia="zh-CN"/>
        </w:rPr>
        <w:t>违约金</w:t>
      </w:r>
      <w:r>
        <w:rPr>
          <w:rFonts w:hint="eastAsia" w:ascii="仿宋" w:hAnsi="仿宋" w:eastAsia="仿宋" w:cs="Times New Roman"/>
          <w:color w:val="auto"/>
          <w:kern w:val="2"/>
          <w:sz w:val="24"/>
          <w:highlight w:val="none"/>
          <w:lang w:eastAsia="zh-CN"/>
        </w:rPr>
        <w:t>。</w:t>
      </w:r>
    </w:p>
    <w:p w14:paraId="35BDDEF9">
      <w:pPr>
        <w:framePr w:wrap="auto" w:vAnchor="margin" w:hAnchor="text" w:yAlign="inline"/>
        <w:widowControl w:val="0"/>
        <w:spacing w:line="360" w:lineRule="auto"/>
        <w:ind w:firstLine="482" w:firstLineChars="200"/>
        <w:jc w:val="both"/>
        <w:rPr>
          <w:rFonts w:ascii="仿宋" w:hAnsi="仿宋" w:eastAsia="仿宋" w:cs="宋体"/>
          <w:b/>
          <w:color w:val="auto"/>
          <w:kern w:val="2"/>
          <w:sz w:val="24"/>
          <w:highlight w:val="none"/>
          <w:lang w:eastAsia="zh-CN"/>
        </w:rPr>
      </w:pPr>
      <w:r>
        <w:rPr>
          <w:rFonts w:hint="eastAsia" w:ascii="仿宋" w:hAnsi="仿宋" w:eastAsia="仿宋" w:cs="宋体"/>
          <w:b/>
          <w:color w:val="auto"/>
          <w:kern w:val="2"/>
          <w:sz w:val="24"/>
          <w:highlight w:val="none"/>
          <w:lang w:eastAsia="zh-CN"/>
        </w:rPr>
        <w:t>六、安全责任</w:t>
      </w:r>
    </w:p>
    <w:p w14:paraId="5CA29E5C">
      <w:pPr>
        <w:framePr w:wrap="auto" w:vAnchor="margin" w:hAnchor="text" w:yAlign="inline"/>
        <w:widowControl w:val="0"/>
        <w:spacing w:line="360" w:lineRule="auto"/>
        <w:ind w:firstLine="480" w:firstLineChars="200"/>
        <w:jc w:val="both"/>
        <w:rPr>
          <w:rFonts w:ascii="仿宋" w:hAnsi="仿宋" w:eastAsia="仿宋" w:cs="宋体"/>
          <w:color w:val="auto"/>
          <w:kern w:val="2"/>
          <w:sz w:val="24"/>
          <w:highlight w:val="none"/>
          <w:lang w:eastAsia="zh-CN"/>
        </w:rPr>
      </w:pPr>
      <w:r>
        <w:rPr>
          <w:rFonts w:hint="eastAsia" w:ascii="仿宋" w:hAnsi="仿宋" w:eastAsia="仿宋" w:cs="宋体"/>
          <w:color w:val="auto"/>
          <w:kern w:val="2"/>
          <w:sz w:val="24"/>
          <w:highlight w:val="none"/>
          <w:lang w:eastAsia="zh-CN"/>
        </w:rPr>
        <w:t>乙方及其人员在材料进退场及材料装卸时必须严格遵守甲方现场管理的各项安全纪律要求及国家相关部门的安全条款要求，做好安全防护措施。坚决杜绝发生人身损害及其他事故，乙方及其人员如在甲方工地现场或在其进退场途中发生（包括但不限于）人身损害或因其侵权导致他人权益受损的，一切责任由乙方自行承担所有责任，与甲方无关。</w:t>
      </w:r>
    </w:p>
    <w:p w14:paraId="7D5F7639">
      <w:pPr>
        <w:framePr w:wrap="auto" w:vAnchor="margin" w:hAnchor="text" w:yAlign="inline"/>
        <w:widowControl w:val="0"/>
        <w:spacing w:line="360" w:lineRule="auto"/>
        <w:ind w:firstLine="482" w:firstLineChars="200"/>
        <w:jc w:val="both"/>
        <w:rPr>
          <w:rFonts w:ascii="仿宋" w:hAnsi="仿宋" w:eastAsia="仿宋" w:cs="Times New Roman"/>
          <w:b/>
          <w:bCs/>
          <w:color w:val="auto"/>
          <w:kern w:val="2"/>
          <w:sz w:val="24"/>
          <w:highlight w:val="none"/>
          <w:lang w:eastAsia="zh-CN"/>
        </w:rPr>
      </w:pPr>
      <w:r>
        <w:rPr>
          <w:rFonts w:hint="eastAsia" w:ascii="仿宋" w:hAnsi="仿宋" w:eastAsia="仿宋" w:cs="宋体"/>
          <w:b/>
          <w:color w:val="auto"/>
          <w:kern w:val="2"/>
          <w:sz w:val="24"/>
          <w:highlight w:val="none"/>
          <w:lang w:eastAsia="zh-CN"/>
        </w:rPr>
        <w:t>七、</w:t>
      </w:r>
      <w:r>
        <w:rPr>
          <w:rFonts w:hint="eastAsia" w:ascii="仿宋" w:hAnsi="仿宋" w:eastAsia="仿宋" w:cs="Times New Roman"/>
          <w:b/>
          <w:bCs/>
          <w:color w:val="auto"/>
          <w:kern w:val="2"/>
          <w:sz w:val="24"/>
          <w:highlight w:val="none"/>
          <w:lang w:eastAsia="zh-CN"/>
        </w:rPr>
        <w:t>解决争议</w:t>
      </w:r>
    </w:p>
    <w:p w14:paraId="64E48A78">
      <w:pPr>
        <w:framePr w:wrap="auto" w:vAnchor="margin" w:hAnchor="text" w:yAlign="inline"/>
        <w:widowControl w:val="0"/>
        <w:tabs>
          <w:tab w:val="left" w:pos="0"/>
        </w:tabs>
        <w:spacing w:line="360" w:lineRule="auto"/>
        <w:ind w:firstLine="480" w:firstLineChars="200"/>
        <w:jc w:val="both"/>
        <w:rPr>
          <w:rFonts w:ascii="仿宋" w:hAnsi="仿宋" w:eastAsia="仿宋" w:cs="Times New Roman"/>
          <w:color w:val="auto"/>
          <w:kern w:val="0"/>
          <w:sz w:val="24"/>
          <w:highlight w:val="none"/>
          <w:lang w:val="zh-CN" w:eastAsia="zh-CN"/>
        </w:rPr>
      </w:pPr>
      <w:r>
        <w:rPr>
          <w:rFonts w:hint="eastAsia" w:ascii="仿宋" w:hAnsi="仿宋" w:eastAsia="仿宋" w:cs="Times New Roman"/>
          <w:color w:val="auto"/>
          <w:kern w:val="0"/>
          <w:sz w:val="24"/>
          <w:highlight w:val="none"/>
          <w:lang w:val="zh-CN" w:eastAsia="zh-CN"/>
        </w:rPr>
        <w:t>本合同如在履行过程中发生争议的，双方协商解决，协商不成时，</w:t>
      </w:r>
      <w:r>
        <w:rPr>
          <w:rFonts w:hint="eastAsia" w:ascii="仿宋" w:hAnsi="仿宋" w:eastAsia="仿宋" w:cs="Times New Roman"/>
          <w:color w:val="auto"/>
          <w:kern w:val="2"/>
          <w:sz w:val="24"/>
          <w:highlight w:val="none"/>
          <w:lang w:eastAsia="zh-CN"/>
        </w:rPr>
        <w:t>任何一方可向</w:t>
      </w:r>
      <w:r>
        <w:rPr>
          <w:rFonts w:hint="eastAsia" w:ascii="仿宋" w:hAnsi="仿宋" w:eastAsia="仿宋" w:cs="Times New Roman"/>
          <w:color w:val="auto"/>
          <w:kern w:val="2"/>
          <w:sz w:val="24"/>
          <w:szCs w:val="24"/>
          <w:highlight w:val="none"/>
          <w:lang w:val="en-US" w:eastAsia="zh-CN"/>
        </w:rPr>
        <w:t>工程所在地有管辖权的人民法院</w:t>
      </w:r>
      <w:r>
        <w:rPr>
          <w:rFonts w:hint="eastAsia" w:ascii="仿宋" w:hAnsi="仿宋" w:eastAsia="仿宋" w:cs="Times New Roman"/>
          <w:color w:val="auto"/>
          <w:kern w:val="2"/>
          <w:sz w:val="24"/>
          <w:szCs w:val="24"/>
          <w:highlight w:val="none"/>
          <w:lang w:eastAsia="zh-CN"/>
        </w:rPr>
        <w:t>提起</w:t>
      </w:r>
      <w:r>
        <w:rPr>
          <w:rFonts w:hint="eastAsia" w:ascii="仿宋" w:hAnsi="仿宋" w:eastAsia="仿宋" w:cs="Times New Roman"/>
          <w:color w:val="auto"/>
          <w:kern w:val="2"/>
          <w:sz w:val="24"/>
          <w:szCs w:val="24"/>
          <w:highlight w:val="none"/>
          <w:lang w:val="en-US" w:eastAsia="zh-CN"/>
        </w:rPr>
        <w:t>诉讼</w:t>
      </w:r>
      <w:r>
        <w:rPr>
          <w:rFonts w:hint="eastAsia" w:ascii="仿宋" w:hAnsi="仿宋" w:eastAsia="仿宋" w:cs="Times New Roman"/>
          <w:color w:val="auto"/>
          <w:kern w:val="2"/>
          <w:sz w:val="24"/>
          <w:highlight w:val="none"/>
          <w:lang w:eastAsia="zh-CN"/>
        </w:rPr>
        <w:t>。</w:t>
      </w:r>
    </w:p>
    <w:p w14:paraId="45EAEECE">
      <w:pPr>
        <w:framePr w:wrap="auto" w:vAnchor="margin" w:hAnchor="text" w:yAlign="inline"/>
        <w:widowControl w:val="0"/>
        <w:tabs>
          <w:tab w:val="left" w:pos="720"/>
        </w:tabs>
        <w:spacing w:line="360" w:lineRule="auto"/>
        <w:ind w:firstLine="482" w:firstLineChars="200"/>
        <w:jc w:val="both"/>
        <w:rPr>
          <w:rFonts w:ascii="仿宋" w:hAnsi="仿宋" w:eastAsia="仿宋" w:cs="宋体"/>
          <w:b/>
          <w:bCs/>
          <w:color w:val="auto"/>
          <w:kern w:val="2"/>
          <w:sz w:val="24"/>
          <w:highlight w:val="none"/>
          <w:lang w:eastAsia="zh-CN"/>
        </w:rPr>
      </w:pPr>
      <w:r>
        <w:rPr>
          <w:rFonts w:hint="eastAsia" w:ascii="仿宋" w:hAnsi="仿宋" w:eastAsia="仿宋" w:cs="Times New Roman"/>
          <w:b/>
          <w:bCs/>
          <w:color w:val="auto"/>
          <w:kern w:val="2"/>
          <w:sz w:val="24"/>
          <w:highlight w:val="none"/>
          <w:lang w:eastAsia="zh-CN"/>
        </w:rPr>
        <w:t>八</w:t>
      </w:r>
      <w:r>
        <w:rPr>
          <w:rFonts w:hint="eastAsia" w:ascii="仿宋" w:hAnsi="仿宋" w:eastAsia="仿宋" w:cs="宋体"/>
          <w:b/>
          <w:bCs/>
          <w:color w:val="auto"/>
          <w:kern w:val="2"/>
          <w:sz w:val="24"/>
          <w:highlight w:val="none"/>
          <w:lang w:eastAsia="zh-CN"/>
        </w:rPr>
        <w:t>、其他</w:t>
      </w:r>
    </w:p>
    <w:p w14:paraId="51462A37">
      <w:pPr>
        <w:framePr w:wrap="auto" w:vAnchor="margin" w:hAnchor="text" w:yAlign="inline"/>
        <w:widowControl w:val="0"/>
        <w:spacing w:line="360" w:lineRule="auto"/>
        <w:ind w:firstLine="480" w:firstLineChars="200"/>
        <w:jc w:val="both"/>
        <w:rPr>
          <w:rFonts w:ascii="仿宋" w:hAnsi="仿宋" w:eastAsia="仿宋" w:cs="宋体"/>
          <w:color w:val="auto"/>
          <w:kern w:val="2"/>
          <w:sz w:val="24"/>
          <w:highlight w:val="none"/>
          <w:lang w:eastAsia="zh-CN"/>
        </w:rPr>
      </w:pPr>
      <w:r>
        <w:rPr>
          <w:rFonts w:ascii="仿宋" w:hAnsi="仿宋" w:eastAsia="仿宋" w:cs="宋体"/>
          <w:color w:val="auto"/>
          <w:kern w:val="2"/>
          <w:sz w:val="24"/>
          <w:highlight w:val="none"/>
          <w:lang w:eastAsia="zh-CN"/>
        </w:rPr>
        <w:t>1</w:t>
      </w:r>
      <w:r>
        <w:rPr>
          <w:rFonts w:hint="eastAsia" w:ascii="仿宋" w:hAnsi="仿宋" w:eastAsia="仿宋" w:cs="宋体"/>
          <w:color w:val="auto"/>
          <w:kern w:val="2"/>
          <w:sz w:val="24"/>
          <w:highlight w:val="none"/>
          <w:lang w:val="en-US" w:eastAsia="zh-CN"/>
        </w:rPr>
        <w:t>.</w:t>
      </w:r>
      <w:r>
        <w:rPr>
          <w:rFonts w:hint="eastAsia" w:ascii="仿宋" w:hAnsi="仿宋" w:eastAsia="仿宋" w:cs="仿宋"/>
          <w:color w:val="auto"/>
          <w:kern w:val="0"/>
          <w:sz w:val="24"/>
          <w:highlight w:val="none"/>
          <w:lang w:eastAsia="zh-CN"/>
        </w:rPr>
        <w:t>甲方不允许项目部人员擅自变更本合同以及以甲方或甲方项目部名义对外借款等。甲方与乙方之间签订的任何合同、协议、补充合同、承诺书、确认单等均以甲方</w:t>
      </w:r>
      <w:r>
        <w:rPr>
          <w:rFonts w:hint="eastAsia" w:ascii="仿宋" w:hAnsi="仿宋" w:eastAsia="仿宋" w:cs="仿宋"/>
          <w:bCs/>
          <w:color w:val="auto"/>
          <w:kern w:val="0"/>
          <w:sz w:val="24"/>
          <w:highlight w:val="none"/>
          <w:lang w:eastAsia="zh-CN"/>
        </w:rPr>
        <w:t>委派项目经理签字并加盖公司公章或公司合同专用章</w:t>
      </w:r>
      <w:r>
        <w:rPr>
          <w:rFonts w:hint="eastAsia" w:ascii="仿宋" w:hAnsi="仿宋" w:eastAsia="仿宋" w:cs="仿宋"/>
          <w:color w:val="auto"/>
          <w:kern w:val="0"/>
          <w:sz w:val="24"/>
          <w:highlight w:val="none"/>
          <w:lang w:eastAsia="zh-CN"/>
        </w:rPr>
        <w:t>确认（除送货单、对账单、结算单允许盖项目部公章外），除此之外，加盖任何项目部印章、技术资料专用章、项目部财务章或项目部人员签名均对甲方不具有效力。乙方应谨慎审查相关文件的签署主体资格和权限，对于相关无权代理人签署的文件，乙方应及时提交甲方追认，甲方未盖章追认的，对甲方不产生效力。乙方与甲方项目部人员相互串通虚构发货单或结算单的，应向甲方支付虚构金额</w:t>
      </w:r>
      <w:r>
        <w:rPr>
          <w:rFonts w:hint="eastAsia" w:ascii="仿宋" w:hAnsi="仿宋" w:eastAsia="仿宋" w:cs="仿宋"/>
          <w:color w:val="auto"/>
          <w:kern w:val="0"/>
          <w:sz w:val="24"/>
          <w:highlight w:val="none"/>
          <w:lang w:val="en-US" w:eastAsia="zh-CN"/>
        </w:rPr>
        <w:t xml:space="preserve">  </w:t>
      </w:r>
      <w:r>
        <w:rPr>
          <w:rFonts w:hint="eastAsia" w:ascii="仿宋" w:hAnsi="仿宋" w:eastAsia="仿宋" w:cs="仿宋"/>
          <w:color w:val="auto"/>
          <w:kern w:val="0"/>
          <w:sz w:val="24"/>
          <w:highlight w:val="none"/>
          <w:lang w:eastAsia="zh-CN"/>
        </w:rPr>
        <w:t>倍的违约金。</w:t>
      </w:r>
    </w:p>
    <w:p w14:paraId="4AAB5248">
      <w:pPr>
        <w:framePr w:wrap="auto" w:vAnchor="margin" w:hAnchor="text" w:yAlign="inline"/>
        <w:widowControl w:val="0"/>
        <w:spacing w:line="360" w:lineRule="auto"/>
        <w:ind w:firstLine="480" w:firstLineChars="200"/>
        <w:jc w:val="both"/>
        <w:rPr>
          <w:rFonts w:ascii="仿宋" w:hAnsi="仿宋" w:eastAsia="仿宋" w:cs="宋体"/>
          <w:color w:val="auto"/>
          <w:kern w:val="2"/>
          <w:sz w:val="24"/>
          <w:highlight w:val="none"/>
          <w:lang w:eastAsia="zh-CN"/>
        </w:rPr>
      </w:pPr>
      <w:r>
        <w:rPr>
          <w:rFonts w:hint="eastAsia" w:ascii="仿宋" w:hAnsi="仿宋" w:eastAsia="仿宋" w:cs="宋体"/>
          <w:color w:val="auto"/>
          <w:kern w:val="2"/>
          <w:sz w:val="24"/>
          <w:highlight w:val="none"/>
          <w:lang w:eastAsia="zh-CN"/>
        </w:rPr>
        <w:t>2</w:t>
      </w:r>
      <w:r>
        <w:rPr>
          <w:rFonts w:hint="eastAsia" w:ascii="仿宋" w:hAnsi="仿宋" w:eastAsia="仿宋" w:cs="宋体"/>
          <w:color w:val="auto"/>
          <w:kern w:val="2"/>
          <w:sz w:val="24"/>
          <w:highlight w:val="none"/>
          <w:lang w:val="en-US" w:eastAsia="zh-CN"/>
        </w:rPr>
        <w:t>.</w:t>
      </w:r>
      <w:r>
        <w:rPr>
          <w:rFonts w:hint="eastAsia" w:ascii="仿宋" w:hAnsi="仿宋" w:eastAsia="仿宋" w:cs="宋体"/>
          <w:color w:val="auto"/>
          <w:kern w:val="2"/>
          <w:sz w:val="24"/>
          <w:highlight w:val="none"/>
          <w:lang w:eastAsia="zh-CN"/>
        </w:rPr>
        <w:t>乙方必须在每月</w:t>
      </w:r>
      <w:r>
        <w:rPr>
          <w:rFonts w:hint="eastAsia" w:ascii="仿宋" w:hAnsi="仿宋" w:eastAsia="仿宋" w:cs="宋体"/>
          <w:color w:val="auto"/>
          <w:kern w:val="2"/>
          <w:sz w:val="24"/>
          <w:highlight w:val="none"/>
          <w:lang w:val="en-US" w:eastAsia="zh-CN"/>
        </w:rPr>
        <w:t xml:space="preserve">  </w:t>
      </w:r>
      <w:r>
        <w:rPr>
          <w:rFonts w:hint="eastAsia" w:ascii="仿宋" w:hAnsi="仿宋" w:eastAsia="仿宋" w:cs="宋体"/>
          <w:color w:val="auto"/>
          <w:kern w:val="2"/>
          <w:sz w:val="24"/>
          <w:highlight w:val="none"/>
          <w:lang w:eastAsia="zh-CN"/>
        </w:rPr>
        <w:t>日前将上一个月的结算情况、尚欠金额的清单及具体凭证的扫描件（包括但不限于收据、发票、银行凭证等）发到甲方指定电子邮件：</w:t>
      </w:r>
      <w:r>
        <w:rPr>
          <w:rFonts w:hint="eastAsia" w:ascii="仿宋" w:hAnsi="仿宋" w:eastAsia="仿宋" w:cs="宋体"/>
          <w:color w:val="auto"/>
          <w:kern w:val="2"/>
          <w:sz w:val="24"/>
          <w:highlight w:val="none"/>
          <w:u w:val="single"/>
          <w:lang w:val="en-US" w:eastAsia="zh-CN"/>
        </w:rPr>
        <w:t xml:space="preserve">    </w:t>
      </w:r>
      <w:r>
        <w:rPr>
          <w:rFonts w:hint="eastAsia" w:ascii="仿宋" w:hAnsi="仿宋" w:eastAsia="仿宋" w:cs="宋体"/>
          <w:color w:val="auto"/>
          <w:kern w:val="2"/>
          <w:sz w:val="24"/>
          <w:highlight w:val="none"/>
          <w:u w:val="single"/>
          <w:lang w:eastAsia="zh-CN"/>
        </w:rPr>
        <w:t xml:space="preserve">                     </w:t>
      </w:r>
      <w:r>
        <w:rPr>
          <w:rFonts w:hint="eastAsia" w:ascii="仿宋" w:hAnsi="仿宋" w:eastAsia="仿宋" w:cs="宋体"/>
          <w:color w:val="auto"/>
          <w:kern w:val="2"/>
          <w:sz w:val="24"/>
          <w:highlight w:val="none"/>
          <w:lang w:eastAsia="zh-CN"/>
        </w:rPr>
        <w:t>（需写明具体所属项目），并注明乙方经办人及联系电话。若因乙方没有按约定时间报送上述凭证资料，视为甲方对乙方该月的结算不予确认，由此产生的任何经济损失由乙方承担，与甲方无关。</w:t>
      </w:r>
    </w:p>
    <w:p w14:paraId="7272A266">
      <w:pPr>
        <w:framePr w:wrap="auto" w:vAnchor="margin" w:hAnchor="text" w:yAlign="inline"/>
        <w:widowControl w:val="0"/>
        <w:tabs>
          <w:tab w:val="left" w:pos="900"/>
        </w:tabs>
        <w:spacing w:line="360" w:lineRule="auto"/>
        <w:ind w:firstLine="480" w:firstLineChars="200"/>
        <w:jc w:val="left"/>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3</w:t>
      </w:r>
      <w:r>
        <w:rPr>
          <w:rFonts w:hint="eastAsia" w:ascii="仿宋" w:hAnsi="仿宋" w:eastAsia="仿宋" w:cs="Times New Roman"/>
          <w:color w:val="auto"/>
          <w:kern w:val="2"/>
          <w:sz w:val="24"/>
          <w:highlight w:val="none"/>
          <w:lang w:val="en-US" w:eastAsia="zh-CN"/>
        </w:rPr>
        <w:t>.</w:t>
      </w:r>
      <w:r>
        <w:rPr>
          <w:rFonts w:hint="eastAsia" w:ascii="仿宋" w:hAnsi="仿宋" w:eastAsia="仿宋" w:cs="Times New Roman"/>
          <w:color w:val="auto"/>
          <w:kern w:val="2"/>
          <w:sz w:val="24"/>
          <w:highlight w:val="none"/>
          <w:lang w:eastAsia="zh-CN"/>
        </w:rPr>
        <w:t>本合同最高结算金额不超过供应暂定金额（含税），超出部分甲方不予确认及支付，双方需另行协商签订补充合同。</w:t>
      </w:r>
    </w:p>
    <w:p w14:paraId="220D5BFB">
      <w:pPr>
        <w:framePr w:wrap="auto" w:vAnchor="margin" w:hAnchor="text" w:yAlign="inline"/>
        <w:widowControl w:val="0"/>
        <w:tabs>
          <w:tab w:val="left" w:pos="900"/>
        </w:tabs>
        <w:spacing w:line="360" w:lineRule="auto"/>
        <w:ind w:firstLine="480" w:firstLineChars="200"/>
        <w:jc w:val="left"/>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4</w:t>
      </w:r>
      <w:r>
        <w:rPr>
          <w:rFonts w:hint="eastAsia" w:ascii="仿宋" w:hAnsi="仿宋" w:eastAsia="仿宋" w:cs="Times New Roman"/>
          <w:color w:val="auto"/>
          <w:kern w:val="2"/>
          <w:sz w:val="24"/>
          <w:highlight w:val="none"/>
          <w:lang w:val="en-US" w:eastAsia="zh-CN"/>
        </w:rPr>
        <w:t>.</w:t>
      </w:r>
      <w:r>
        <w:rPr>
          <w:rFonts w:hint="eastAsia" w:ascii="仿宋" w:hAnsi="仿宋" w:eastAsia="仿宋" w:cs="Times New Roman"/>
          <w:color w:val="auto"/>
          <w:kern w:val="2"/>
          <w:sz w:val="24"/>
          <w:highlight w:val="none"/>
          <w:lang w:eastAsia="zh-CN"/>
        </w:rPr>
        <w:t>本合同如有未尽事宜或需变更补充时应另订书面补充协议，补充协议未达成之前按本合同执行，任何一方均无权擅自更改合同内容。</w:t>
      </w:r>
    </w:p>
    <w:p w14:paraId="07B8DF4A">
      <w:pPr>
        <w:framePr w:wrap="auto" w:vAnchor="margin" w:hAnchor="text" w:yAlign="inline"/>
        <w:widowControl w:val="0"/>
        <w:spacing w:line="360" w:lineRule="auto"/>
        <w:ind w:firstLine="480" w:firstLineChars="200"/>
        <w:jc w:val="both"/>
        <w:rPr>
          <w:rFonts w:ascii="仿宋" w:hAnsi="仿宋" w:eastAsia="仿宋" w:cs="宋体"/>
          <w:color w:val="auto"/>
          <w:kern w:val="2"/>
          <w:sz w:val="24"/>
          <w:highlight w:val="none"/>
          <w:lang w:eastAsia="zh-CN"/>
        </w:rPr>
      </w:pPr>
      <w:r>
        <w:rPr>
          <w:rFonts w:hint="eastAsia" w:ascii="仿宋" w:hAnsi="仿宋" w:eastAsia="仿宋" w:cs="宋体"/>
          <w:color w:val="auto"/>
          <w:kern w:val="2"/>
          <w:sz w:val="24"/>
          <w:highlight w:val="none"/>
          <w:lang w:eastAsia="zh-CN"/>
        </w:rPr>
        <w:t>5</w:t>
      </w:r>
      <w:r>
        <w:rPr>
          <w:rFonts w:hint="eastAsia" w:ascii="仿宋" w:hAnsi="仿宋" w:eastAsia="仿宋" w:cs="宋体"/>
          <w:color w:val="auto"/>
          <w:kern w:val="2"/>
          <w:sz w:val="24"/>
          <w:highlight w:val="none"/>
          <w:lang w:val="en-US" w:eastAsia="zh-CN"/>
        </w:rPr>
        <w:t>.</w:t>
      </w:r>
      <w:r>
        <w:rPr>
          <w:rFonts w:hint="eastAsia" w:ascii="仿宋" w:hAnsi="仿宋" w:eastAsia="仿宋" w:cs="宋体"/>
          <w:color w:val="auto"/>
          <w:kern w:val="2"/>
          <w:sz w:val="24"/>
          <w:highlight w:val="none"/>
          <w:lang w:eastAsia="zh-CN"/>
        </w:rPr>
        <w:t>就本合同有关事项，任何一方按照下列地址送达、寄送通知等法律文件，即视为已经有效送达另一方。任何一方变更下列联系地址，应当及时书面通知另一方，另一方在收到联系地址变更的书面通知前，按照下列地址送达、寄送通知等法律文件，仍然视为有效送达。</w:t>
      </w:r>
    </w:p>
    <w:p w14:paraId="56D6A427">
      <w:pPr>
        <w:framePr w:wrap="auto" w:vAnchor="margin" w:hAnchor="text" w:yAlign="inline"/>
        <w:widowControl w:val="0"/>
        <w:spacing w:line="360" w:lineRule="auto"/>
        <w:ind w:firstLine="480" w:firstLineChars="200"/>
        <w:jc w:val="both"/>
        <w:rPr>
          <w:rFonts w:hint="default"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eastAsia="zh-CN"/>
        </w:rPr>
        <w:t>甲方地址：</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none"/>
          <w:lang w:val="en-US" w:eastAsia="zh-CN"/>
        </w:rPr>
        <w:t xml:space="preserve">              </w:t>
      </w:r>
      <w:r>
        <w:rPr>
          <w:rFonts w:hint="eastAsia" w:ascii="仿宋" w:hAnsi="仿宋" w:eastAsia="仿宋" w:cs="Times New Roman"/>
          <w:color w:val="auto"/>
          <w:kern w:val="2"/>
          <w:sz w:val="24"/>
          <w:highlight w:val="none"/>
          <w:lang w:eastAsia="zh-CN"/>
        </w:rPr>
        <w:t>乙方地址：</w:t>
      </w:r>
      <w:r>
        <w:rPr>
          <w:rFonts w:hint="eastAsia" w:ascii="仿宋" w:hAnsi="仿宋" w:eastAsia="仿宋" w:cs="Times New Roman"/>
          <w:color w:val="auto"/>
          <w:kern w:val="2"/>
          <w:sz w:val="24"/>
          <w:highlight w:val="none"/>
          <w:u w:val="single"/>
          <w:lang w:val="en-US" w:eastAsia="zh-CN"/>
        </w:rPr>
        <w:t xml:space="preserve">      </w:t>
      </w:r>
    </w:p>
    <w:p w14:paraId="1D2EA1F0">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6</w:t>
      </w:r>
      <w:r>
        <w:rPr>
          <w:rFonts w:hint="eastAsia" w:ascii="仿宋" w:hAnsi="仿宋" w:eastAsia="仿宋" w:cs="Times New Roman"/>
          <w:color w:val="auto"/>
          <w:kern w:val="2"/>
          <w:sz w:val="24"/>
          <w:highlight w:val="none"/>
          <w:lang w:val="en-US" w:eastAsia="zh-CN"/>
        </w:rPr>
        <w:t>.</w:t>
      </w:r>
      <w:r>
        <w:rPr>
          <w:rFonts w:hint="eastAsia" w:ascii="仿宋" w:hAnsi="仿宋" w:eastAsia="仿宋" w:cs="Times New Roman"/>
          <w:color w:val="auto"/>
          <w:kern w:val="2"/>
          <w:sz w:val="24"/>
          <w:highlight w:val="none"/>
          <w:lang w:eastAsia="zh-CN"/>
        </w:rPr>
        <w:t>本合同一式</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份，甲方执</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份，乙方执</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份，具有同等的法律效力。</w:t>
      </w:r>
    </w:p>
    <w:p w14:paraId="0CC0233E">
      <w:pPr>
        <w:framePr w:wrap="auto" w:vAnchor="margin" w:hAnchor="text" w:yAlign="inline"/>
        <w:widowControl w:val="0"/>
        <w:spacing w:line="360" w:lineRule="auto"/>
        <w:ind w:firstLine="480" w:firstLineChars="200"/>
        <w:jc w:val="both"/>
        <w:rPr>
          <w:rFonts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7</w:t>
      </w:r>
      <w:r>
        <w:rPr>
          <w:rFonts w:hint="eastAsia" w:ascii="仿宋" w:hAnsi="仿宋" w:eastAsia="仿宋" w:cs="Times New Roman"/>
          <w:color w:val="auto"/>
          <w:kern w:val="2"/>
          <w:sz w:val="24"/>
          <w:highlight w:val="none"/>
          <w:lang w:val="en-US" w:eastAsia="zh-CN"/>
        </w:rPr>
        <w:t>.</w:t>
      </w:r>
      <w:r>
        <w:rPr>
          <w:rFonts w:hint="eastAsia" w:ascii="仿宋" w:hAnsi="仿宋" w:eastAsia="仿宋" w:cs="Times New Roman"/>
          <w:color w:val="auto"/>
          <w:kern w:val="2"/>
          <w:sz w:val="24"/>
          <w:highlight w:val="none"/>
          <w:lang w:eastAsia="zh-CN"/>
        </w:rPr>
        <w:t>本合同在双方签字盖章后生效，双方履行完毕合同中全部</w:t>
      </w:r>
      <w:r>
        <w:rPr>
          <w:rFonts w:hint="eastAsia" w:ascii="仿宋" w:hAnsi="仿宋" w:eastAsia="仿宋" w:cs="Times New Roman"/>
          <w:color w:val="auto"/>
          <w:kern w:val="2"/>
          <w:sz w:val="24"/>
          <w:highlight w:val="none"/>
          <w:lang w:val="en-US" w:eastAsia="zh-CN"/>
        </w:rPr>
        <w:t>义务</w:t>
      </w:r>
      <w:r>
        <w:rPr>
          <w:rFonts w:hint="eastAsia" w:ascii="仿宋" w:hAnsi="仿宋" w:eastAsia="仿宋" w:cs="Times New Roman"/>
          <w:color w:val="auto"/>
          <w:kern w:val="2"/>
          <w:sz w:val="24"/>
          <w:highlight w:val="none"/>
          <w:lang w:eastAsia="zh-CN"/>
        </w:rPr>
        <w:t>后自然终止。</w:t>
      </w:r>
    </w:p>
    <w:p w14:paraId="35141BEA">
      <w:pPr>
        <w:widowControl w:val="0"/>
        <w:spacing w:after="120"/>
        <w:jc w:val="both"/>
        <w:rPr>
          <w:rFonts w:hint="eastAsia" w:ascii="仿宋" w:hAnsi="仿宋" w:eastAsia="仿宋" w:cs="Times New Roman"/>
          <w:color w:val="auto"/>
          <w:kern w:val="2"/>
          <w:sz w:val="24"/>
          <w:szCs w:val="24"/>
          <w:highlight w:val="none"/>
          <w:lang w:val="en-US" w:eastAsia="zh-CN" w:bidi="ar-SA"/>
        </w:rPr>
      </w:pPr>
    </w:p>
    <w:tbl>
      <w:tblPr>
        <w:tblStyle w:val="19"/>
        <w:tblW w:w="894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73"/>
        <w:gridCol w:w="4473"/>
      </w:tblGrid>
      <w:tr w14:paraId="1CA0F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atLeast"/>
        </w:trPr>
        <w:tc>
          <w:tcPr>
            <w:tcW w:w="4473" w:type="dxa"/>
            <w:noWrap w:val="0"/>
            <w:vAlign w:val="top"/>
          </w:tcPr>
          <w:p w14:paraId="2EF3AAEB">
            <w:pPr>
              <w:framePr w:wrap="auto" w:vAnchor="margin" w:hAnchor="text" w:yAlign="inline"/>
              <w:widowControl w:val="0"/>
              <w:spacing w:line="400" w:lineRule="exact"/>
              <w:jc w:val="both"/>
              <w:rPr>
                <w:rFonts w:hint="default" w:ascii="仿宋" w:hAnsi="仿宋" w:eastAsia="仿宋" w:cs="Times New Roman"/>
                <w:color w:val="auto"/>
                <w:kern w:val="2"/>
                <w:sz w:val="24"/>
                <w:highlight w:val="none"/>
                <w:u w:val="none"/>
                <w:lang w:val="en-US" w:eastAsia="zh-CN"/>
              </w:rPr>
            </w:pPr>
            <w:r>
              <w:rPr>
                <w:rFonts w:hint="eastAsia" w:ascii="仿宋" w:hAnsi="仿宋" w:eastAsia="仿宋" w:cs="Times New Roman"/>
                <w:color w:val="auto"/>
                <w:kern w:val="2"/>
                <w:sz w:val="24"/>
                <w:highlight w:val="none"/>
                <w:u w:val="none"/>
                <w:lang w:eastAsia="zh-CN"/>
              </w:rPr>
              <w:t>甲  方：</w:t>
            </w:r>
            <w:r>
              <w:rPr>
                <w:rFonts w:hint="eastAsia" w:ascii="仿宋" w:hAnsi="仿宋" w:eastAsia="仿宋" w:cs="Times New Roman"/>
                <w:color w:val="auto"/>
                <w:kern w:val="2"/>
                <w:sz w:val="24"/>
                <w:highlight w:val="none"/>
                <w:u w:val="none"/>
                <w:lang w:val="en-US" w:eastAsia="zh-CN"/>
              </w:rPr>
              <w:t xml:space="preserve">     </w:t>
            </w:r>
          </w:p>
          <w:p w14:paraId="17408B2E">
            <w:pPr>
              <w:framePr w:wrap="auto" w:vAnchor="margin" w:hAnchor="text" w:yAlign="inline"/>
              <w:widowControl w:val="0"/>
              <w:spacing w:line="400" w:lineRule="exact"/>
              <w:jc w:val="both"/>
              <w:rPr>
                <w:rFonts w:hint="eastAsia" w:ascii="仿宋" w:hAnsi="仿宋" w:eastAsia="仿宋" w:cs="Times New Roman"/>
                <w:color w:val="auto"/>
                <w:kern w:val="2"/>
                <w:sz w:val="36"/>
                <w:szCs w:val="36"/>
                <w:highlight w:val="none"/>
                <w:u w:val="none"/>
                <w:vertAlign w:val="baseline"/>
                <w:lang w:eastAsia="zh-CN"/>
              </w:rPr>
            </w:pPr>
            <w:r>
              <w:rPr>
                <w:rFonts w:hint="eastAsia" w:ascii="仿宋" w:hAnsi="仿宋" w:eastAsia="仿宋" w:cs="Times New Roman"/>
                <w:color w:val="auto"/>
                <w:kern w:val="2"/>
                <w:sz w:val="24"/>
                <w:highlight w:val="none"/>
                <w:u w:val="none"/>
                <w:lang w:val="en-US" w:eastAsia="zh-CN"/>
              </w:rPr>
              <w:t>（盖章）</w:t>
            </w:r>
          </w:p>
        </w:tc>
        <w:tc>
          <w:tcPr>
            <w:tcW w:w="4473" w:type="dxa"/>
            <w:noWrap w:val="0"/>
            <w:vAlign w:val="top"/>
          </w:tcPr>
          <w:p w14:paraId="7290E012">
            <w:pPr>
              <w:framePr w:wrap="auto" w:vAnchor="margin" w:hAnchor="text" w:yAlign="inline"/>
              <w:widowControl w:val="0"/>
              <w:spacing w:line="400" w:lineRule="exact"/>
              <w:jc w:val="both"/>
              <w:rPr>
                <w:rFonts w:hint="default" w:ascii="仿宋" w:hAnsi="仿宋" w:eastAsia="仿宋" w:cs="Times New Roman"/>
                <w:color w:val="auto"/>
                <w:kern w:val="2"/>
                <w:sz w:val="24"/>
                <w:highlight w:val="none"/>
                <w:u w:val="none"/>
                <w:lang w:val="en-US" w:eastAsia="zh-CN"/>
              </w:rPr>
            </w:pPr>
            <w:r>
              <w:rPr>
                <w:rFonts w:hint="eastAsia" w:ascii="仿宋" w:hAnsi="仿宋" w:eastAsia="仿宋" w:cs="Times New Roman"/>
                <w:color w:val="auto"/>
                <w:kern w:val="2"/>
                <w:sz w:val="24"/>
                <w:highlight w:val="none"/>
                <w:u w:val="none"/>
                <w:lang w:eastAsia="zh-CN"/>
              </w:rPr>
              <w:t>乙  方：</w:t>
            </w:r>
            <w:r>
              <w:rPr>
                <w:rFonts w:hint="eastAsia" w:ascii="仿宋" w:hAnsi="仿宋" w:eastAsia="仿宋" w:cs="Times New Roman"/>
                <w:color w:val="auto"/>
                <w:kern w:val="2"/>
                <w:sz w:val="24"/>
                <w:highlight w:val="none"/>
                <w:u w:val="none"/>
                <w:lang w:val="en-US" w:eastAsia="zh-CN"/>
              </w:rPr>
              <w:t xml:space="preserve">      </w:t>
            </w:r>
          </w:p>
          <w:p w14:paraId="4151B723">
            <w:pPr>
              <w:framePr w:wrap="auto" w:vAnchor="margin" w:hAnchor="text" w:yAlign="inline"/>
              <w:widowControl w:val="0"/>
              <w:spacing w:line="400" w:lineRule="exact"/>
              <w:jc w:val="both"/>
              <w:rPr>
                <w:rFonts w:hint="eastAsia" w:ascii="仿宋" w:hAnsi="仿宋" w:eastAsia="仿宋" w:cs="Times New Roman"/>
                <w:color w:val="auto"/>
                <w:kern w:val="2"/>
                <w:sz w:val="36"/>
                <w:szCs w:val="36"/>
                <w:highlight w:val="none"/>
                <w:u w:val="none"/>
                <w:vertAlign w:val="baseline"/>
                <w:lang w:eastAsia="zh-CN"/>
              </w:rPr>
            </w:pPr>
            <w:r>
              <w:rPr>
                <w:rFonts w:hint="eastAsia" w:ascii="仿宋" w:hAnsi="仿宋" w:eastAsia="仿宋" w:cs="Times New Roman"/>
                <w:color w:val="auto"/>
                <w:kern w:val="2"/>
                <w:sz w:val="24"/>
                <w:highlight w:val="none"/>
                <w:u w:val="none"/>
                <w:lang w:val="en-US" w:eastAsia="zh-CN"/>
              </w:rPr>
              <w:t>（盖章）</w:t>
            </w:r>
          </w:p>
        </w:tc>
      </w:tr>
      <w:tr w14:paraId="25BFB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4473" w:type="dxa"/>
            <w:noWrap w:val="0"/>
            <w:vAlign w:val="top"/>
          </w:tcPr>
          <w:p w14:paraId="1E6F0D94">
            <w:pPr>
              <w:framePr w:wrap="auto" w:vAnchor="margin" w:hAnchor="text" w:yAlign="inline"/>
              <w:widowControl w:val="0"/>
              <w:spacing w:line="400" w:lineRule="exact"/>
              <w:jc w:val="both"/>
              <w:rPr>
                <w:rFonts w:hint="eastAsia" w:ascii="仿宋" w:hAnsi="仿宋" w:eastAsia="仿宋" w:cs="Times New Roman"/>
                <w:color w:val="auto"/>
                <w:kern w:val="2"/>
                <w:sz w:val="36"/>
                <w:szCs w:val="36"/>
                <w:highlight w:val="none"/>
                <w:vertAlign w:val="baseline"/>
                <w:lang w:eastAsia="zh-CN"/>
              </w:rPr>
            </w:pPr>
            <w:r>
              <w:rPr>
                <w:rFonts w:hint="eastAsia" w:ascii="仿宋" w:hAnsi="仿宋" w:eastAsia="仿宋" w:cs="Times New Roman"/>
                <w:color w:val="auto"/>
                <w:kern w:val="2"/>
                <w:sz w:val="24"/>
                <w:highlight w:val="none"/>
                <w:lang w:eastAsia="zh-CN"/>
              </w:rPr>
              <w:t>法定代表人：(签字)</w:t>
            </w:r>
          </w:p>
        </w:tc>
        <w:tc>
          <w:tcPr>
            <w:tcW w:w="4473" w:type="dxa"/>
            <w:noWrap w:val="0"/>
            <w:vAlign w:val="top"/>
          </w:tcPr>
          <w:p w14:paraId="1C0A4DB9">
            <w:pPr>
              <w:framePr w:wrap="auto" w:vAnchor="margin" w:hAnchor="text" w:yAlign="inline"/>
              <w:widowControl w:val="0"/>
              <w:spacing w:line="400" w:lineRule="exact"/>
              <w:jc w:val="both"/>
              <w:rPr>
                <w:rFonts w:hint="eastAsia" w:ascii="仿宋" w:hAnsi="仿宋" w:eastAsia="仿宋" w:cs="Times New Roman"/>
                <w:color w:val="auto"/>
                <w:kern w:val="2"/>
                <w:sz w:val="36"/>
                <w:szCs w:val="36"/>
                <w:highlight w:val="none"/>
                <w:vertAlign w:val="baseline"/>
                <w:lang w:eastAsia="zh-CN"/>
              </w:rPr>
            </w:pPr>
            <w:r>
              <w:rPr>
                <w:rFonts w:hint="eastAsia" w:ascii="仿宋" w:hAnsi="仿宋" w:eastAsia="仿宋" w:cs="Times New Roman"/>
                <w:color w:val="auto"/>
                <w:kern w:val="2"/>
                <w:sz w:val="24"/>
                <w:highlight w:val="none"/>
                <w:lang w:eastAsia="zh-CN"/>
              </w:rPr>
              <w:t>法定代表人：(签字)</w:t>
            </w:r>
          </w:p>
        </w:tc>
      </w:tr>
      <w:tr w14:paraId="246AC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4473" w:type="dxa"/>
            <w:noWrap w:val="0"/>
            <w:vAlign w:val="top"/>
          </w:tcPr>
          <w:p w14:paraId="336ED628">
            <w:pPr>
              <w:framePr w:wrap="auto" w:vAnchor="margin" w:hAnchor="text" w:yAlign="inline"/>
              <w:widowControl w:val="0"/>
              <w:spacing w:line="400" w:lineRule="exact"/>
              <w:jc w:val="both"/>
              <w:rPr>
                <w:rFonts w:hint="eastAsia" w:ascii="仿宋" w:hAnsi="仿宋" w:eastAsia="仿宋" w:cs="Times New Roman"/>
                <w:color w:val="auto"/>
                <w:kern w:val="2"/>
                <w:sz w:val="36"/>
                <w:szCs w:val="36"/>
                <w:highlight w:val="none"/>
                <w:vertAlign w:val="baseline"/>
                <w:lang w:eastAsia="zh-CN"/>
              </w:rPr>
            </w:pPr>
            <w:r>
              <w:rPr>
                <w:rFonts w:hint="eastAsia" w:ascii="仿宋" w:hAnsi="仿宋" w:eastAsia="仿宋" w:cs="Times New Roman"/>
                <w:color w:val="auto"/>
                <w:kern w:val="2"/>
                <w:sz w:val="24"/>
                <w:highlight w:val="none"/>
                <w:lang w:val="en-US" w:eastAsia="zh-CN"/>
              </w:rPr>
              <w:t>或</w:t>
            </w:r>
            <w:r>
              <w:rPr>
                <w:rFonts w:hint="eastAsia" w:ascii="仿宋" w:hAnsi="仿宋" w:eastAsia="仿宋" w:cs="Times New Roman"/>
                <w:color w:val="auto"/>
                <w:kern w:val="2"/>
                <w:sz w:val="24"/>
                <w:highlight w:val="none"/>
                <w:lang w:eastAsia="zh-CN"/>
              </w:rPr>
              <w:t>委托代理人：(签字)</w:t>
            </w:r>
          </w:p>
        </w:tc>
        <w:tc>
          <w:tcPr>
            <w:tcW w:w="4473" w:type="dxa"/>
            <w:noWrap w:val="0"/>
            <w:vAlign w:val="top"/>
          </w:tcPr>
          <w:p w14:paraId="4ECCB294">
            <w:pPr>
              <w:framePr w:wrap="auto" w:vAnchor="margin" w:hAnchor="text" w:yAlign="inline"/>
              <w:widowControl w:val="0"/>
              <w:spacing w:line="400" w:lineRule="exact"/>
              <w:jc w:val="both"/>
              <w:rPr>
                <w:rFonts w:hint="eastAsia" w:ascii="仿宋" w:hAnsi="仿宋" w:eastAsia="仿宋" w:cs="Times New Roman"/>
                <w:color w:val="auto"/>
                <w:kern w:val="2"/>
                <w:sz w:val="36"/>
                <w:szCs w:val="36"/>
                <w:highlight w:val="none"/>
                <w:vertAlign w:val="baseline"/>
                <w:lang w:eastAsia="zh-CN"/>
              </w:rPr>
            </w:pPr>
            <w:r>
              <w:rPr>
                <w:rFonts w:hint="eastAsia" w:ascii="仿宋" w:hAnsi="仿宋" w:eastAsia="仿宋" w:cs="Times New Roman"/>
                <w:color w:val="auto"/>
                <w:kern w:val="2"/>
                <w:sz w:val="24"/>
                <w:highlight w:val="none"/>
                <w:lang w:val="en-US" w:eastAsia="zh-CN"/>
              </w:rPr>
              <w:t>或</w:t>
            </w:r>
            <w:r>
              <w:rPr>
                <w:rFonts w:hint="eastAsia" w:ascii="仿宋" w:hAnsi="仿宋" w:eastAsia="仿宋" w:cs="Times New Roman"/>
                <w:color w:val="auto"/>
                <w:kern w:val="2"/>
                <w:sz w:val="24"/>
                <w:highlight w:val="none"/>
                <w:lang w:eastAsia="zh-CN"/>
              </w:rPr>
              <w:t>委托代理人：(签字)</w:t>
            </w:r>
          </w:p>
        </w:tc>
      </w:tr>
      <w:tr w14:paraId="75079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noWrap w:val="0"/>
            <w:vAlign w:val="top"/>
          </w:tcPr>
          <w:p w14:paraId="0F5AD10B">
            <w:pPr>
              <w:framePr w:wrap="auto" w:vAnchor="margin" w:hAnchor="text" w:yAlign="inline"/>
              <w:widowControl w:val="0"/>
              <w:spacing w:line="400" w:lineRule="exact"/>
              <w:jc w:val="both"/>
              <w:rPr>
                <w:rFonts w:hint="default" w:ascii="仿宋" w:hAnsi="仿宋" w:eastAsia="仿宋" w:cs="Times New Roman"/>
                <w:color w:val="auto"/>
                <w:kern w:val="2"/>
                <w:sz w:val="36"/>
                <w:szCs w:val="36"/>
                <w:highlight w:val="none"/>
                <w:vertAlign w:val="baseline"/>
                <w:lang w:val="en-US" w:eastAsia="zh-CN"/>
              </w:rPr>
            </w:pPr>
            <w:r>
              <w:rPr>
                <w:rFonts w:hint="eastAsia" w:ascii="仿宋" w:hAnsi="仿宋" w:eastAsia="仿宋" w:cs="Times New Roman"/>
                <w:color w:val="auto"/>
                <w:kern w:val="2"/>
                <w:sz w:val="24"/>
                <w:highlight w:val="none"/>
                <w:lang w:eastAsia="zh-CN"/>
              </w:rPr>
              <w:t>地    址：</w:t>
            </w:r>
            <w:r>
              <w:rPr>
                <w:rFonts w:hint="eastAsia" w:ascii="仿宋" w:hAnsi="仿宋" w:eastAsia="仿宋" w:cs="Times New Roman"/>
                <w:color w:val="auto"/>
                <w:kern w:val="2"/>
                <w:sz w:val="24"/>
                <w:highlight w:val="none"/>
                <w:lang w:val="en-US" w:eastAsia="zh-CN"/>
              </w:rPr>
              <w:t xml:space="preserve">     </w:t>
            </w:r>
          </w:p>
        </w:tc>
        <w:tc>
          <w:tcPr>
            <w:tcW w:w="4473" w:type="dxa"/>
            <w:noWrap w:val="0"/>
            <w:vAlign w:val="top"/>
          </w:tcPr>
          <w:p w14:paraId="7446954F">
            <w:pPr>
              <w:framePr w:wrap="auto" w:vAnchor="margin" w:hAnchor="text" w:yAlign="inline"/>
              <w:widowControl w:val="0"/>
              <w:spacing w:line="400" w:lineRule="exact"/>
              <w:jc w:val="both"/>
              <w:rPr>
                <w:rFonts w:hint="default" w:ascii="仿宋" w:hAnsi="仿宋" w:eastAsia="仿宋" w:cs="Times New Roman"/>
                <w:color w:val="auto"/>
                <w:kern w:val="2"/>
                <w:sz w:val="36"/>
                <w:szCs w:val="36"/>
                <w:highlight w:val="none"/>
                <w:vertAlign w:val="baseline"/>
                <w:lang w:val="en-US" w:eastAsia="zh-CN"/>
              </w:rPr>
            </w:pPr>
            <w:r>
              <w:rPr>
                <w:rFonts w:hint="eastAsia" w:ascii="仿宋" w:hAnsi="仿宋" w:eastAsia="仿宋" w:cs="Times New Roman"/>
                <w:color w:val="auto"/>
                <w:kern w:val="2"/>
                <w:sz w:val="24"/>
                <w:highlight w:val="none"/>
                <w:lang w:eastAsia="zh-CN"/>
              </w:rPr>
              <w:t>地    址：</w:t>
            </w:r>
            <w:r>
              <w:rPr>
                <w:rFonts w:hint="eastAsia" w:ascii="仿宋" w:hAnsi="仿宋" w:eastAsia="仿宋" w:cs="Times New Roman"/>
                <w:color w:val="auto"/>
                <w:kern w:val="2"/>
                <w:sz w:val="24"/>
                <w:highlight w:val="none"/>
                <w:lang w:val="en-US" w:eastAsia="zh-CN"/>
              </w:rPr>
              <w:t xml:space="preserve">      </w:t>
            </w:r>
          </w:p>
        </w:tc>
      </w:tr>
      <w:tr w14:paraId="5F578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noWrap w:val="0"/>
            <w:vAlign w:val="top"/>
          </w:tcPr>
          <w:p w14:paraId="071077DC">
            <w:pPr>
              <w:framePr w:wrap="auto" w:vAnchor="margin" w:hAnchor="text" w:yAlign="inline"/>
              <w:widowControl w:val="0"/>
              <w:spacing w:line="400" w:lineRule="exact"/>
              <w:jc w:val="both"/>
              <w:rPr>
                <w:rFonts w:hint="default" w:ascii="仿宋" w:hAnsi="仿宋" w:eastAsia="仿宋" w:cs="Times New Roman"/>
                <w:color w:val="auto"/>
                <w:kern w:val="2"/>
                <w:sz w:val="36"/>
                <w:szCs w:val="36"/>
                <w:highlight w:val="none"/>
                <w:vertAlign w:val="baseline"/>
                <w:lang w:val="en-US" w:eastAsia="zh-CN"/>
              </w:rPr>
            </w:pPr>
            <w:r>
              <w:rPr>
                <w:rFonts w:hint="eastAsia" w:ascii="仿宋" w:hAnsi="仿宋" w:eastAsia="仿宋" w:cs="Times New Roman"/>
                <w:color w:val="auto"/>
                <w:kern w:val="2"/>
                <w:sz w:val="24"/>
                <w:highlight w:val="none"/>
                <w:lang w:eastAsia="zh-CN"/>
              </w:rPr>
              <w:t>电    话：</w:t>
            </w:r>
            <w:r>
              <w:rPr>
                <w:rFonts w:hint="eastAsia" w:ascii="仿宋" w:hAnsi="仿宋" w:eastAsia="仿宋" w:cs="Times New Roman"/>
                <w:color w:val="auto"/>
                <w:kern w:val="2"/>
                <w:sz w:val="24"/>
                <w:highlight w:val="none"/>
                <w:lang w:val="en-US" w:eastAsia="zh-CN"/>
              </w:rPr>
              <w:t xml:space="preserve">      </w:t>
            </w:r>
          </w:p>
        </w:tc>
        <w:tc>
          <w:tcPr>
            <w:tcW w:w="4473" w:type="dxa"/>
            <w:noWrap w:val="0"/>
            <w:vAlign w:val="top"/>
          </w:tcPr>
          <w:p w14:paraId="0D407A7D">
            <w:pPr>
              <w:framePr w:wrap="auto" w:vAnchor="margin" w:hAnchor="text" w:yAlign="inline"/>
              <w:widowControl w:val="0"/>
              <w:spacing w:line="400" w:lineRule="exact"/>
              <w:jc w:val="both"/>
              <w:rPr>
                <w:rFonts w:hint="default" w:ascii="仿宋" w:hAnsi="仿宋" w:eastAsia="仿宋" w:cs="Times New Roman"/>
                <w:color w:val="auto"/>
                <w:kern w:val="2"/>
                <w:sz w:val="36"/>
                <w:szCs w:val="36"/>
                <w:highlight w:val="none"/>
                <w:vertAlign w:val="baseline"/>
                <w:lang w:val="en-US" w:eastAsia="zh-CN"/>
              </w:rPr>
            </w:pPr>
            <w:r>
              <w:rPr>
                <w:rFonts w:hint="eastAsia" w:ascii="仿宋" w:hAnsi="仿宋" w:eastAsia="仿宋" w:cs="Times New Roman"/>
                <w:color w:val="auto"/>
                <w:kern w:val="2"/>
                <w:sz w:val="24"/>
                <w:highlight w:val="none"/>
                <w:lang w:eastAsia="zh-CN"/>
              </w:rPr>
              <w:t>电    话：</w:t>
            </w:r>
          </w:p>
        </w:tc>
      </w:tr>
      <w:tr w14:paraId="13C10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noWrap w:val="0"/>
            <w:vAlign w:val="top"/>
          </w:tcPr>
          <w:p w14:paraId="516A2495">
            <w:pPr>
              <w:framePr w:wrap="auto" w:vAnchor="margin" w:hAnchor="text" w:yAlign="inline"/>
              <w:widowControl w:val="0"/>
              <w:spacing w:line="400" w:lineRule="exact"/>
              <w:jc w:val="both"/>
              <w:rPr>
                <w:rFonts w:hint="default"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eastAsia="zh-CN"/>
              </w:rPr>
              <w:t>开户银行：</w:t>
            </w:r>
            <w:r>
              <w:rPr>
                <w:rFonts w:hint="eastAsia" w:ascii="仿宋" w:hAnsi="仿宋" w:eastAsia="仿宋" w:cs="Times New Roman"/>
                <w:color w:val="auto"/>
                <w:kern w:val="2"/>
                <w:sz w:val="24"/>
                <w:highlight w:val="none"/>
                <w:lang w:val="en-US" w:eastAsia="zh-CN"/>
              </w:rPr>
              <w:t xml:space="preserve">     </w:t>
            </w:r>
          </w:p>
        </w:tc>
        <w:tc>
          <w:tcPr>
            <w:tcW w:w="4473" w:type="dxa"/>
            <w:noWrap w:val="0"/>
            <w:vAlign w:val="top"/>
          </w:tcPr>
          <w:p w14:paraId="19811130">
            <w:pPr>
              <w:framePr w:wrap="auto" w:vAnchor="margin" w:hAnchor="text" w:yAlign="inline"/>
              <w:widowControl w:val="0"/>
              <w:spacing w:line="400" w:lineRule="exact"/>
              <w:jc w:val="both"/>
              <w:rPr>
                <w:rFonts w:hint="default"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eastAsia="zh-CN"/>
              </w:rPr>
              <w:t>开户银行：</w:t>
            </w:r>
            <w:r>
              <w:rPr>
                <w:rFonts w:hint="eastAsia" w:ascii="仿宋" w:hAnsi="仿宋" w:eastAsia="仿宋" w:cs="Times New Roman"/>
                <w:color w:val="auto"/>
                <w:kern w:val="2"/>
                <w:sz w:val="24"/>
                <w:highlight w:val="none"/>
                <w:lang w:val="en-US" w:eastAsia="zh-CN"/>
              </w:rPr>
              <w:t xml:space="preserve">    </w:t>
            </w:r>
          </w:p>
        </w:tc>
      </w:tr>
      <w:tr w14:paraId="733FA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noWrap w:val="0"/>
            <w:vAlign w:val="top"/>
          </w:tcPr>
          <w:p w14:paraId="6E7B07DC">
            <w:pPr>
              <w:framePr w:wrap="auto" w:vAnchor="margin" w:hAnchor="text" w:yAlign="inline"/>
              <w:widowControl w:val="0"/>
              <w:spacing w:line="400" w:lineRule="exact"/>
              <w:jc w:val="both"/>
              <w:rPr>
                <w:rFonts w:hint="default"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eastAsia="zh-CN"/>
              </w:rPr>
              <w:t>银行帐号：</w:t>
            </w:r>
            <w:r>
              <w:rPr>
                <w:rFonts w:hint="eastAsia" w:ascii="仿宋" w:hAnsi="仿宋" w:eastAsia="仿宋" w:cs="Times New Roman"/>
                <w:color w:val="auto"/>
                <w:kern w:val="2"/>
                <w:sz w:val="24"/>
                <w:highlight w:val="none"/>
                <w:lang w:val="en-US" w:eastAsia="zh-CN"/>
              </w:rPr>
              <w:t xml:space="preserve">      </w:t>
            </w:r>
          </w:p>
        </w:tc>
        <w:tc>
          <w:tcPr>
            <w:tcW w:w="4473" w:type="dxa"/>
            <w:noWrap w:val="0"/>
            <w:vAlign w:val="top"/>
          </w:tcPr>
          <w:p w14:paraId="0157BC15">
            <w:pPr>
              <w:framePr w:wrap="auto" w:vAnchor="margin" w:hAnchor="text" w:yAlign="inline"/>
              <w:widowControl w:val="0"/>
              <w:spacing w:line="400" w:lineRule="exact"/>
              <w:jc w:val="both"/>
              <w:rPr>
                <w:rFonts w:hint="default"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eastAsia="zh-CN"/>
              </w:rPr>
              <w:t>银行帐号：</w:t>
            </w:r>
            <w:r>
              <w:rPr>
                <w:rFonts w:hint="eastAsia" w:ascii="仿宋" w:hAnsi="仿宋" w:eastAsia="仿宋" w:cs="Times New Roman"/>
                <w:color w:val="auto"/>
                <w:kern w:val="2"/>
                <w:sz w:val="24"/>
                <w:highlight w:val="none"/>
                <w:lang w:val="en-US" w:eastAsia="zh-CN"/>
              </w:rPr>
              <w:t xml:space="preserve">      </w:t>
            </w:r>
          </w:p>
        </w:tc>
      </w:tr>
      <w:tr w14:paraId="16FEC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noWrap w:val="0"/>
            <w:vAlign w:val="top"/>
          </w:tcPr>
          <w:p w14:paraId="63F6C5B6">
            <w:pPr>
              <w:framePr w:wrap="auto" w:vAnchor="margin" w:hAnchor="text" w:yAlign="inline"/>
              <w:widowControl w:val="0"/>
              <w:spacing w:line="400" w:lineRule="exact"/>
              <w:jc w:val="both"/>
              <w:rPr>
                <w:rFonts w:hint="default"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eastAsia="zh-CN"/>
              </w:rPr>
              <w:t>签订时间：</w:t>
            </w:r>
            <w:r>
              <w:rPr>
                <w:rFonts w:hint="eastAsia" w:ascii="仿宋" w:hAnsi="仿宋" w:eastAsia="仿宋" w:cs="Times New Roman"/>
                <w:color w:val="auto"/>
                <w:kern w:val="2"/>
                <w:sz w:val="24"/>
                <w:highlight w:val="none"/>
                <w:lang w:val="en-US" w:eastAsia="zh-CN"/>
              </w:rPr>
              <w:t xml:space="preserve">     </w:t>
            </w:r>
          </w:p>
        </w:tc>
        <w:tc>
          <w:tcPr>
            <w:tcW w:w="4473" w:type="dxa"/>
            <w:noWrap w:val="0"/>
            <w:vAlign w:val="top"/>
          </w:tcPr>
          <w:p w14:paraId="14CBBBAA">
            <w:pPr>
              <w:framePr w:wrap="auto" w:vAnchor="margin" w:hAnchor="text" w:yAlign="inline"/>
              <w:widowControl w:val="0"/>
              <w:spacing w:line="400" w:lineRule="exact"/>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签订时间：</w:t>
            </w:r>
            <w:r>
              <w:rPr>
                <w:rFonts w:hint="eastAsia" w:ascii="仿宋" w:hAnsi="仿宋" w:eastAsia="仿宋" w:cs="Times New Roman"/>
                <w:color w:val="auto"/>
                <w:kern w:val="2"/>
                <w:sz w:val="24"/>
                <w:highlight w:val="none"/>
                <w:lang w:val="en-US" w:eastAsia="zh-CN"/>
              </w:rPr>
              <w:t xml:space="preserve">     </w:t>
            </w:r>
            <w:r>
              <w:rPr>
                <w:rFonts w:hint="eastAsia" w:ascii="仿宋" w:hAnsi="仿宋" w:eastAsia="仿宋" w:cs="Times New Roman"/>
                <w:color w:val="auto"/>
                <w:kern w:val="2"/>
                <w:sz w:val="24"/>
                <w:highlight w:val="none"/>
                <w:lang w:eastAsia="zh-CN"/>
              </w:rPr>
              <w:t xml:space="preserve"> </w:t>
            </w:r>
          </w:p>
        </w:tc>
      </w:tr>
    </w:tbl>
    <w:p w14:paraId="66E0F2D9">
      <w:pPr>
        <w:framePr w:wrap="auto" w:vAnchor="margin" w:hAnchor="text" w:yAlign="inline"/>
        <w:rPr>
          <w:rFonts w:hint="eastAsia" w:ascii="宋体" w:hAnsi="宋体" w:eastAsia="宋体" w:cs="宋体"/>
          <w:b/>
          <w:bCs/>
          <w:color w:val="auto"/>
          <w:sz w:val="32"/>
          <w:szCs w:val="32"/>
          <w:highlight w:val="none"/>
          <w:lang w:val="en-US" w:eastAsia="zh-CN"/>
        </w:rPr>
      </w:pPr>
      <w:r>
        <w:rPr>
          <w:rFonts w:hint="eastAsia" w:ascii="宋体" w:hAnsi="宋体" w:eastAsia="宋体" w:cs="宋体"/>
          <w:b/>
          <w:bCs/>
          <w:color w:val="auto"/>
          <w:sz w:val="32"/>
          <w:szCs w:val="32"/>
          <w:highlight w:val="none"/>
          <w:lang w:val="en-US" w:eastAsia="zh-CN"/>
        </w:rPr>
        <w:br w:type="page"/>
      </w:r>
    </w:p>
    <w:p w14:paraId="7173E966">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22" w:name="_Toc1788"/>
      <w:r>
        <w:rPr>
          <w:rFonts w:hint="eastAsia" w:ascii="宋体" w:hAnsi="宋体" w:eastAsia="宋体" w:cs="宋体"/>
          <w:b/>
          <w:bCs/>
          <w:color w:val="auto"/>
          <w:sz w:val="32"/>
          <w:szCs w:val="32"/>
          <w:highlight w:val="none"/>
          <w:lang w:val="en-US" w:eastAsia="zh-CN"/>
        </w:rPr>
        <w:t>第六部分  响应文件格式</w:t>
      </w:r>
      <w:bookmarkEnd w:id="21"/>
      <w:bookmarkEnd w:id="22"/>
    </w:p>
    <w:p w14:paraId="32D94E6D">
      <w:pPr>
        <w:pStyle w:val="31"/>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lang w:val="en-US" w:eastAsia="zh-CN"/>
        </w:rPr>
      </w:pPr>
    </w:p>
    <w:p w14:paraId="1A605519">
      <w:pPr>
        <w:pStyle w:val="31"/>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lang w:val="en-US" w:eastAsia="zh-CN"/>
        </w:rPr>
      </w:pPr>
    </w:p>
    <w:p w14:paraId="0E01C65B">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auto"/>
          <w:sz w:val="36"/>
          <w:szCs w:val="36"/>
          <w:highlight w:val="none"/>
          <w:u w:val="none" w:color="auto"/>
          <w:lang w:val="en-US" w:eastAsia="zh-CN"/>
        </w:rPr>
      </w:pPr>
      <w:r>
        <w:rPr>
          <w:rFonts w:hint="eastAsia" w:ascii="宋体" w:hAnsi="宋体" w:eastAsia="宋体" w:cs="宋体"/>
          <w:b/>
          <w:bCs/>
          <w:color w:val="auto"/>
          <w:sz w:val="36"/>
          <w:szCs w:val="36"/>
          <w:highlight w:val="none"/>
          <w:u w:val="none" w:color="auto"/>
          <w:lang w:val="en-US" w:eastAsia="zh-CN"/>
        </w:rPr>
        <w:t>广东省惠州市惠东县稔山镇蟹洲海堤水闸重建工程</w:t>
      </w:r>
      <w:r>
        <w:rPr>
          <w:rFonts w:hint="eastAsia" w:ascii="宋体" w:hAnsi="宋体" w:eastAsia="宋体" w:cs="宋体"/>
          <w:b/>
          <w:bCs/>
          <w:color w:val="auto"/>
          <w:sz w:val="36"/>
          <w:szCs w:val="36"/>
          <w:highlight w:val="none"/>
          <w:u w:val="none" w:color="auto"/>
          <w:lang w:val="en-US" w:eastAsia="zh-CN"/>
        </w:rPr>
        <w:t>（编号11号）商品混凝土</w:t>
      </w:r>
    </w:p>
    <w:p w14:paraId="51D98A10">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lang w:val="en-US" w:eastAsia="zh-CN"/>
        </w:rPr>
        <w:t>竞价</w:t>
      </w:r>
      <w:r>
        <w:rPr>
          <w:rFonts w:hint="eastAsia" w:ascii="宋体" w:hAnsi="宋体" w:eastAsia="宋体" w:cs="宋体"/>
          <w:b/>
          <w:bCs/>
          <w:color w:val="auto"/>
          <w:sz w:val="36"/>
          <w:szCs w:val="36"/>
          <w:highlight w:val="none"/>
          <w:u w:val="none" w:color="auto"/>
          <w:lang w:val="zh-TW"/>
        </w:rPr>
        <w:t>文件</w:t>
      </w:r>
    </w:p>
    <w:p w14:paraId="1A4599A5">
      <w:pPr>
        <w:pStyle w:val="31"/>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14:paraId="2C2030B2">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rPr>
      </w:pPr>
    </w:p>
    <w:p w14:paraId="35AB4D79">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rPr>
      </w:pPr>
    </w:p>
    <w:p w14:paraId="2D356EB0">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u w:val="single"/>
          <w:lang w:val="zh-TW"/>
        </w:rPr>
      </w:pPr>
      <w:r>
        <w:rPr>
          <w:rFonts w:hint="eastAsia" w:ascii="宋体" w:hAnsi="宋体" w:eastAsia="宋体" w:cs="宋体"/>
          <w:color w:val="auto"/>
          <w:sz w:val="32"/>
          <w:szCs w:val="32"/>
          <w:highlight w:val="none"/>
        </w:rPr>
        <w:t>响应人名称</w:t>
      </w:r>
      <w:r>
        <w:rPr>
          <w:rFonts w:hint="eastAsia" w:ascii="宋体" w:hAnsi="宋体" w:eastAsia="宋体" w:cs="宋体"/>
          <w:color w:val="auto"/>
          <w:sz w:val="32"/>
          <w:szCs w:val="32"/>
          <w:highlight w:val="none"/>
          <w:lang w:val="zh-TW" w:eastAsia="zh-TW"/>
        </w:rPr>
        <w:t>：</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5B9889D0">
      <w:pPr>
        <w:pStyle w:val="31"/>
        <w:framePr w:wrap="auto" w:vAnchor="margin" w:hAnchor="text" w:yAlign="inline"/>
        <w:wordWrap w:val="0"/>
        <w:adjustRightInd w:val="0"/>
        <w:snapToGrid w:val="0"/>
        <w:spacing w:line="360" w:lineRule="auto"/>
        <w:ind w:left="0" w:leftChars="0" w:firstLine="480" w:firstLineChars="150"/>
        <w:rPr>
          <w:rFonts w:hint="eastAsia" w:ascii="宋体" w:hAnsi="宋体" w:eastAsia="宋体" w:cs="宋体"/>
          <w:color w:val="auto"/>
          <w:sz w:val="32"/>
          <w:szCs w:val="32"/>
          <w:highlight w:val="none"/>
          <w:lang w:eastAsia="zh-TW"/>
        </w:rPr>
      </w:pPr>
      <w:r>
        <w:rPr>
          <w:rFonts w:hint="eastAsia" w:ascii="宋体" w:hAnsi="宋体" w:eastAsia="宋体" w:cs="宋体"/>
          <w:color w:val="auto"/>
          <w:sz w:val="32"/>
          <w:szCs w:val="32"/>
          <w:highlight w:val="none"/>
          <w:lang w:eastAsia="zh-TW"/>
        </w:rPr>
        <w:t>响应人地址：</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251130DC">
      <w:pPr>
        <w:pStyle w:val="31"/>
        <w:framePr w:wrap="auto" w:vAnchor="margin" w:hAnchor="text" w:yAlign="inline"/>
        <w:wordWrap w:val="0"/>
        <w:adjustRightInd w:val="0"/>
        <w:snapToGrid w:val="0"/>
        <w:spacing w:line="360" w:lineRule="auto"/>
        <w:ind w:left="0" w:leftChars="0" w:firstLine="480" w:firstLineChars="150"/>
        <w:rPr>
          <w:rFonts w:hint="eastAsia" w:ascii="宋体" w:hAnsi="宋体" w:eastAsia="宋体" w:cs="宋体"/>
          <w:color w:val="auto"/>
          <w:sz w:val="32"/>
          <w:szCs w:val="32"/>
          <w:highlight w:val="none"/>
          <w:u w:val="single"/>
          <w:lang w:eastAsia="zh-TW"/>
        </w:rPr>
      </w:pPr>
      <w:r>
        <w:rPr>
          <w:rFonts w:hint="eastAsia" w:ascii="宋体" w:hAnsi="宋体" w:eastAsia="宋体" w:cs="宋体"/>
          <w:color w:val="auto"/>
          <w:sz w:val="32"/>
          <w:szCs w:val="32"/>
          <w:highlight w:val="none"/>
          <w:lang w:val="en-US" w:eastAsia="zh-CN"/>
        </w:rPr>
        <w:t>联系人</w:t>
      </w:r>
      <w:r>
        <w:rPr>
          <w:rFonts w:hint="eastAsia" w:ascii="宋体" w:hAnsi="宋体" w:eastAsia="宋体" w:cs="宋体"/>
          <w:color w:val="auto"/>
          <w:sz w:val="32"/>
          <w:szCs w:val="32"/>
          <w:highlight w:val="none"/>
          <w:lang w:eastAsia="zh-TW"/>
        </w:rPr>
        <w:t>：</w:t>
      </w:r>
      <w:r>
        <w:rPr>
          <w:rFonts w:hint="eastAsia" w:ascii="宋体" w:hAnsi="宋体" w:eastAsia="宋体" w:cs="宋体"/>
          <w:color w:val="auto"/>
          <w:sz w:val="32"/>
          <w:szCs w:val="32"/>
          <w:highlight w:val="none"/>
          <w:u w:val="single"/>
          <w:lang w:eastAsia="zh-TW"/>
        </w:rPr>
        <w:t xml:space="preserve">        </w:t>
      </w:r>
    </w:p>
    <w:p w14:paraId="203091A4">
      <w:pPr>
        <w:pStyle w:val="31"/>
        <w:framePr w:wrap="auto" w:vAnchor="margin" w:hAnchor="text" w:yAlign="inline"/>
        <w:wordWrap w:val="0"/>
        <w:adjustRightInd w:val="0"/>
        <w:snapToGrid w:val="0"/>
        <w:spacing w:line="360" w:lineRule="auto"/>
        <w:ind w:firstLine="480" w:firstLineChars="150"/>
        <w:rPr>
          <w:rFonts w:hint="default"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联系电话：</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en-US" w:eastAsia="zh-CN"/>
        </w:rPr>
        <w:t xml:space="preserve">  </w:t>
      </w:r>
    </w:p>
    <w:p w14:paraId="2192D9D9">
      <w:pPr>
        <w:pStyle w:val="31"/>
        <w:framePr w:wrap="auto" w:vAnchor="margin" w:hAnchor="text" w:yAlign="inline"/>
        <w:wordWrap w:val="0"/>
        <w:adjustRightInd w:val="0"/>
        <w:snapToGrid w:val="0"/>
        <w:spacing w:line="360" w:lineRule="auto"/>
        <w:ind w:firstLine="480" w:firstLineChars="150"/>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送达响应文件地址：惠州市惠东县惠东大道1212号公路事务养护中心4楼高丰公司</w:t>
      </w:r>
    </w:p>
    <w:p w14:paraId="3DDFCEBD">
      <w:pPr>
        <w:pStyle w:val="31"/>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5B53CE8A">
      <w:pPr>
        <w:pStyle w:val="31"/>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37AB8491">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在</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年</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月</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日</w:t>
      </w:r>
      <w:r>
        <w:rPr>
          <w:rFonts w:hint="eastAsia" w:ascii="宋体" w:hAnsi="宋体" w:eastAsia="宋体" w:cs="宋体"/>
          <w:color w:val="auto"/>
          <w:sz w:val="32"/>
          <w:szCs w:val="32"/>
          <w:highlight w:val="none"/>
          <w:u w:val="single" w:color="auto"/>
          <w:lang w:val="zh-TW" w:eastAsia="zh-TW"/>
        </w:rPr>
        <w:t xml:space="preserve">    时     </w:t>
      </w:r>
      <w:r>
        <w:rPr>
          <w:rFonts w:hint="eastAsia" w:ascii="宋体" w:hAnsi="宋体" w:eastAsia="宋体" w:cs="宋体"/>
          <w:color w:val="auto"/>
          <w:sz w:val="32"/>
          <w:szCs w:val="32"/>
          <w:highlight w:val="none"/>
          <w:lang w:val="zh-TW" w:eastAsia="zh-TW"/>
        </w:rPr>
        <w:t>分</w:t>
      </w:r>
    </w:p>
    <w:p w14:paraId="46BD3D0B">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zh-TW" w:eastAsia="zh-TW"/>
        </w:rPr>
        <w:t>（即开启时间）前不得开启</w:t>
      </w:r>
    </w:p>
    <w:p w14:paraId="18EA5FE0">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rPr>
      </w:pPr>
    </w:p>
    <w:p w14:paraId="316DA2F1">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3E8DF182">
      <w:pPr>
        <w:pStyle w:val="31"/>
        <w:framePr w:wrap="auto" w:vAnchor="margin" w:hAnchor="text" w:yAlign="inline"/>
        <w:wordWrap w:val="0"/>
        <w:adjustRightInd w:val="0"/>
        <w:snapToGrid w:val="0"/>
        <w:spacing w:line="360" w:lineRule="auto"/>
        <w:jc w:val="both"/>
        <w:rPr>
          <w:rFonts w:ascii="宋体" w:hAnsi="宋体" w:eastAsia="宋体" w:cs="宋体"/>
          <w:b/>
          <w:bCs/>
          <w:color w:val="auto"/>
          <w:sz w:val="30"/>
          <w:szCs w:val="30"/>
          <w:highlight w:val="none"/>
          <w:lang w:eastAsia="zh-CN"/>
        </w:rPr>
      </w:pPr>
      <w:r>
        <w:rPr>
          <w:rFonts w:hint="eastAsia" w:ascii="宋体" w:hAnsi="宋体" w:eastAsia="宋体" w:cs="宋体"/>
          <w:b/>
          <w:bCs/>
          <w:color w:val="auto"/>
          <w:sz w:val="30"/>
          <w:szCs w:val="30"/>
          <w:highlight w:val="none"/>
          <w:lang w:val="en-US" w:eastAsia="zh-CN"/>
        </w:rPr>
        <w:t>一、</w:t>
      </w:r>
      <w:r>
        <w:rPr>
          <w:rFonts w:hint="eastAsia" w:ascii="宋体" w:hAnsi="宋体" w:eastAsia="宋体" w:cs="宋体"/>
          <w:b/>
          <w:bCs/>
          <w:color w:val="auto"/>
          <w:sz w:val="30"/>
          <w:szCs w:val="30"/>
          <w:highlight w:val="none"/>
          <w:lang w:eastAsia="zh-CN"/>
        </w:rPr>
        <w:t>报价函格式</w:t>
      </w:r>
    </w:p>
    <w:p w14:paraId="25871C1F">
      <w:pPr>
        <w:framePr w:wrap="auto" w:vAnchor="margin" w:hAnchor="text" w:yAlign="inline"/>
        <w:wordWrap w:val="0"/>
        <w:jc w:val="center"/>
        <w:rPr>
          <w:rFonts w:hint="eastAsia" w:ascii="宋体" w:hAnsi="宋体" w:eastAsia="宋体" w:cs="宋体"/>
          <w:b w:val="0"/>
          <w:bCs w:val="0"/>
          <w:color w:val="auto"/>
          <w:sz w:val="30"/>
          <w:szCs w:val="30"/>
          <w:highlight w:val="none"/>
          <w:lang w:val="en-US" w:eastAsia="zh-CN"/>
        </w:rPr>
      </w:pPr>
    </w:p>
    <w:p w14:paraId="611BD4F2">
      <w:pPr>
        <w:pStyle w:val="31"/>
        <w:framePr w:wrap="auto" w:vAnchor="margin" w:hAnchor="text" w:yAlign="inline"/>
        <w:numPr>
          <w:ilvl w:val="0"/>
          <w:numId w:val="0"/>
        </w:numPr>
        <w:wordWrap w:val="0"/>
        <w:spacing w:line="520" w:lineRule="exact"/>
        <w:jc w:val="left"/>
        <w:rPr>
          <w:rFonts w:hint="default" w:ascii="宋体" w:hAnsi="宋体" w:eastAsia="宋体" w:cs="宋体"/>
          <w:b w:val="0"/>
          <w:bCs w:val="0"/>
          <w:color w:val="auto"/>
          <w:sz w:val="30"/>
          <w:szCs w:val="30"/>
          <w:highlight w:val="none"/>
          <w:lang w:val="en-US" w:eastAsia="zh-CN"/>
        </w:rPr>
      </w:pPr>
      <w:r>
        <w:rPr>
          <w:rFonts w:hint="eastAsia" w:ascii="宋体" w:hAnsi="宋体" w:eastAsia="宋体" w:cs="宋体"/>
          <w:b w:val="0"/>
          <w:bCs w:val="0"/>
          <w:color w:val="auto"/>
          <w:sz w:val="30"/>
          <w:szCs w:val="30"/>
          <w:highlight w:val="none"/>
          <w:lang w:val="en-US" w:eastAsia="zh-CN"/>
        </w:rPr>
        <w:t>1：根据竞价文件的“第三部分 工程量清单”填写报价函</w:t>
      </w:r>
    </w:p>
    <w:p w14:paraId="081E29B0">
      <w:pPr>
        <w:framePr w:wrap="auto" w:vAnchor="margin" w:hAnchor="text" w:yAlign="inline"/>
        <w:rPr>
          <w:rFonts w:ascii="宋体" w:hAnsi="宋体" w:eastAsia="宋体" w:cs="宋体"/>
          <w:b w:val="0"/>
          <w:bCs w:val="0"/>
          <w:color w:val="auto"/>
          <w:sz w:val="30"/>
          <w:szCs w:val="30"/>
          <w:highlight w:val="none"/>
        </w:rPr>
      </w:pPr>
      <w:bookmarkStart w:id="23" w:name="_Toc480462724"/>
      <w:bookmarkStart w:id="24" w:name="_Toc39826987"/>
      <w:bookmarkStart w:id="25" w:name="_Toc486837000"/>
      <w:bookmarkStart w:id="26" w:name="_Toc474920011"/>
    </w:p>
    <w:p w14:paraId="1F27F4C6">
      <w:pPr>
        <w:framePr w:wrap="auto" w:vAnchor="margin" w:hAnchor="text" w:yAlign="inline"/>
        <w:rPr>
          <w:rFonts w:ascii="宋体" w:hAnsi="宋体" w:eastAsia="宋体" w:cs="宋体"/>
          <w:b w:val="0"/>
          <w:bCs w:val="0"/>
          <w:color w:val="auto"/>
          <w:sz w:val="30"/>
          <w:szCs w:val="30"/>
          <w:highlight w:val="none"/>
        </w:rPr>
      </w:pPr>
    </w:p>
    <w:p w14:paraId="77D7D067">
      <w:pPr>
        <w:framePr w:wrap="auto" w:vAnchor="margin" w:hAnchor="text" w:yAlign="inline"/>
        <w:rPr>
          <w:rFonts w:ascii="宋体" w:hAnsi="宋体" w:eastAsia="宋体" w:cs="宋体"/>
          <w:b w:val="0"/>
          <w:bCs w:val="0"/>
          <w:color w:val="auto"/>
          <w:sz w:val="30"/>
          <w:szCs w:val="30"/>
          <w:highlight w:val="none"/>
        </w:rPr>
      </w:pPr>
    </w:p>
    <w:p w14:paraId="37DB56EA">
      <w:pPr>
        <w:framePr w:wrap="auto" w:vAnchor="margin" w:hAnchor="text" w:yAlign="inline"/>
        <w:rPr>
          <w:rFonts w:ascii="宋体" w:hAnsi="宋体" w:eastAsia="宋体" w:cs="宋体"/>
          <w:b w:val="0"/>
          <w:bCs w:val="0"/>
          <w:color w:val="auto"/>
          <w:sz w:val="30"/>
          <w:szCs w:val="30"/>
          <w:highlight w:val="none"/>
          <w:lang w:eastAsia="zh-CN"/>
        </w:rPr>
      </w:pPr>
    </w:p>
    <w:bookmarkEnd w:id="23"/>
    <w:bookmarkEnd w:id="24"/>
    <w:bookmarkEnd w:id="25"/>
    <w:bookmarkEnd w:id="26"/>
    <w:p w14:paraId="6941D929">
      <w:pPr>
        <w:pStyle w:val="31"/>
        <w:framePr w:wrap="auto" w:vAnchor="margin" w:hAnchor="text" w:yAlign="inline"/>
        <w:wordWrap w:val="0"/>
        <w:adjustRightInd w:val="0"/>
        <w:snapToGrid w:val="0"/>
        <w:spacing w:line="360" w:lineRule="auto"/>
        <w:jc w:val="both"/>
        <w:rPr>
          <w:rFonts w:hint="default" w:ascii="宋体" w:hAnsi="宋体" w:eastAsia="宋体" w:cs="宋体"/>
          <w:color w:val="auto"/>
          <w:sz w:val="32"/>
          <w:szCs w:val="32"/>
          <w:highlight w:val="none"/>
        </w:rPr>
      </w:pPr>
      <w:r>
        <w:rPr>
          <w:rFonts w:hint="eastAsia" w:ascii="宋体" w:hAnsi="宋体" w:eastAsia="宋体" w:cs="宋体"/>
          <w:b/>
          <w:bCs/>
          <w:color w:val="auto"/>
          <w:sz w:val="30"/>
          <w:szCs w:val="30"/>
          <w:highlight w:val="none"/>
          <w:lang w:val="en-US" w:eastAsia="zh-CN"/>
        </w:rPr>
        <w:t>二</w:t>
      </w:r>
      <w:r>
        <w:rPr>
          <w:rFonts w:ascii="宋体" w:hAnsi="宋体" w:eastAsia="宋体" w:cs="宋体"/>
          <w:b/>
          <w:bCs/>
          <w:color w:val="auto"/>
          <w:sz w:val="30"/>
          <w:szCs w:val="30"/>
          <w:highlight w:val="none"/>
        </w:rPr>
        <w:t>、</w:t>
      </w:r>
      <w:r>
        <w:rPr>
          <w:rFonts w:hint="eastAsia" w:ascii="宋体" w:hAnsi="宋体" w:eastAsia="宋体" w:cs="宋体"/>
          <w:b/>
          <w:bCs/>
          <w:color w:val="auto"/>
          <w:sz w:val="30"/>
          <w:szCs w:val="30"/>
          <w:highlight w:val="none"/>
        </w:rPr>
        <w:t>营业执照（或事业法人登记证等相关证明）副本复印件</w:t>
      </w:r>
    </w:p>
    <w:p w14:paraId="7DF98E53">
      <w:pPr>
        <w:pStyle w:val="31"/>
        <w:framePr w:wrap="auto" w:vAnchor="margin" w:hAnchor="text" w:yAlign="inline"/>
        <w:wordWrap w:val="0"/>
        <w:spacing w:line="520" w:lineRule="exact"/>
        <w:jc w:val="left"/>
        <w:rPr>
          <w:rFonts w:hint="eastAsia" w:ascii="宋体" w:hAnsi="宋体" w:eastAsia="宋体" w:cs="宋体"/>
          <w:b w:val="0"/>
          <w:bCs w:val="0"/>
          <w:color w:val="auto"/>
          <w:sz w:val="30"/>
          <w:szCs w:val="30"/>
          <w:highlight w:val="none"/>
          <w:lang w:val="en-US" w:eastAsia="zh-CN"/>
        </w:rPr>
      </w:pPr>
    </w:p>
    <w:p w14:paraId="590BFA57">
      <w:pPr>
        <w:framePr w:wrap="auto" w:vAnchor="margin" w:hAnchor="text" w:yAlign="inline"/>
        <w:rPr>
          <w:rFonts w:ascii="宋体" w:hAnsi="宋体" w:eastAsia="宋体" w:cs="宋体"/>
          <w:b w:val="0"/>
          <w:bCs w:val="0"/>
          <w:color w:val="auto"/>
          <w:sz w:val="30"/>
          <w:szCs w:val="30"/>
          <w:highlight w:val="none"/>
        </w:rPr>
      </w:pPr>
    </w:p>
    <w:p w14:paraId="03DC769B">
      <w:pPr>
        <w:framePr w:wrap="auto" w:vAnchor="margin" w:hAnchor="text" w:yAlign="inline"/>
        <w:rPr>
          <w:rFonts w:ascii="宋体" w:hAnsi="宋体" w:eastAsia="宋体" w:cs="宋体"/>
          <w:b w:val="0"/>
          <w:bCs w:val="0"/>
          <w:color w:val="auto"/>
          <w:sz w:val="30"/>
          <w:szCs w:val="30"/>
          <w:highlight w:val="none"/>
        </w:rPr>
      </w:pPr>
    </w:p>
    <w:p w14:paraId="40FE47E4">
      <w:pPr>
        <w:framePr w:wrap="auto" w:vAnchor="margin" w:hAnchor="text" w:yAlign="inline"/>
        <w:rPr>
          <w:rFonts w:ascii="宋体" w:hAnsi="宋体" w:eastAsia="宋体" w:cs="宋体"/>
          <w:b w:val="0"/>
          <w:bCs w:val="0"/>
          <w:color w:val="auto"/>
          <w:sz w:val="30"/>
          <w:szCs w:val="30"/>
          <w:highlight w:val="none"/>
        </w:rPr>
      </w:pPr>
    </w:p>
    <w:p w14:paraId="6762F433">
      <w:pPr>
        <w:framePr w:wrap="auto" w:vAnchor="margin" w:hAnchor="text" w:yAlign="inline"/>
        <w:rPr>
          <w:rFonts w:ascii="宋体" w:hAnsi="宋体" w:eastAsia="宋体" w:cs="宋体"/>
          <w:b w:val="0"/>
          <w:bCs w:val="0"/>
          <w:color w:val="auto"/>
          <w:sz w:val="30"/>
          <w:szCs w:val="30"/>
          <w:highlight w:val="none"/>
        </w:rPr>
      </w:pPr>
    </w:p>
    <w:p w14:paraId="2D14DF0A">
      <w:pPr>
        <w:framePr w:wrap="auto" w:vAnchor="margin" w:hAnchor="text" w:yAlign="inline"/>
        <w:rPr>
          <w:rFonts w:ascii="宋体" w:hAnsi="宋体" w:eastAsia="宋体" w:cs="宋体"/>
          <w:b w:val="0"/>
          <w:bCs w:val="0"/>
          <w:color w:val="auto"/>
          <w:sz w:val="30"/>
          <w:szCs w:val="30"/>
          <w:highlight w:val="none"/>
        </w:rPr>
      </w:pPr>
    </w:p>
    <w:p w14:paraId="664CB5C2">
      <w:pPr>
        <w:framePr w:wrap="auto" w:vAnchor="margin" w:hAnchor="text" w:yAlign="inline"/>
        <w:rPr>
          <w:rFonts w:ascii="宋体" w:hAnsi="宋体" w:eastAsia="宋体" w:cs="宋体"/>
          <w:b w:val="0"/>
          <w:bCs w:val="0"/>
          <w:color w:val="auto"/>
          <w:sz w:val="30"/>
          <w:szCs w:val="30"/>
          <w:highlight w:val="none"/>
        </w:rPr>
      </w:pPr>
      <w:r>
        <w:rPr>
          <w:rFonts w:hint="eastAsia" w:ascii="宋体" w:hAnsi="宋体" w:eastAsia="宋体" w:cs="宋体"/>
          <w:b/>
          <w:bCs/>
          <w:color w:val="auto"/>
          <w:sz w:val="30"/>
          <w:szCs w:val="30"/>
          <w:highlight w:val="none"/>
          <w:lang w:val="en-US" w:eastAsia="zh-CN"/>
        </w:rPr>
        <w:t>三、相关资质复印件</w:t>
      </w:r>
    </w:p>
    <w:p w14:paraId="6A91FD2C">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79C719C4">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sectPr>
      <w:headerReference r:id="rId6" w:type="default"/>
      <w:footerReference r:id="rId7"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4"/>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方正小标宋简体">
    <w:altName w:val="仿宋"/>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897CF">
    <w:pPr>
      <w:pStyle w:val="30"/>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70D86BEE">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sbXDpkcCAACKBAAADgAAAAAAAAABACAAAAAf&#10;AQAAZHJzL2Uyb0RvYy54bWxQSwUGAAAAAAYABgBZAQAA2AUAAAAA&#10;">
              <v:fill on="f" focussize="0,0"/>
              <v:stroke on="f" weight="1pt" miterlimit="4" joinstyle="miter"/>
              <v:imagedata o:title=""/>
              <o:lock v:ext="edit" aspectratio="f"/>
              <v:textbox inset="0mm,0mm,0mm,0mm" style="mso-fit-shape-to-text:t;">
                <w:txbxContent>
                  <w:p w14:paraId="70D86BEE">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A22D5">
    <w:pPr>
      <w:pStyle w:val="30"/>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512C4991">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3ndhtkcCAACIBAAADgAAAAAAAAABACAAAAAf&#10;AQAAZHJzL2Uyb0RvYy54bWxQSwUGAAAAAAYABgBZAQAA2AUAAAAA&#10;">
              <v:fill on="f" focussize="0,0"/>
              <v:stroke on="f" weight="1pt" miterlimit="4" joinstyle="miter"/>
              <v:imagedata o:title=""/>
              <o:lock v:ext="edit" aspectratio="f"/>
              <v:textbox inset="0mm,0mm,0mm,0mm" style="mso-fit-shape-to-text:t;">
                <w:txbxContent>
                  <w:p w14:paraId="512C4991">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21EBA">
    <w:pPr>
      <w:widowControl w:val="0"/>
      <w:snapToGrid w:val="0"/>
      <w:jc w:val="center"/>
      <w:rPr>
        <w:rFonts w:hint="eastAsia"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posOffset>2110740</wp:posOffset>
              </wp:positionH>
              <wp:positionV relativeFrom="paragraph">
                <wp:posOffset>8953500</wp:posOffset>
              </wp:positionV>
              <wp:extent cx="1132205" cy="28575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132205" cy="28575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46FFC50D">
                          <w:pPr>
                            <w:pStyle w:val="11"/>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square" lIns="0" tIns="0" rIns="0" bIns="0" numCol="1" spcCol="38100" rtlCol="0" fromWordArt="0" anchor="t" anchorCtr="0" forceAA="0" upright="0" compatLnSpc="1">
                      <a:noAutofit/>
                    </wps:bodyPr>
                  </wps:wsp>
                </a:graphicData>
              </a:graphic>
            </wp:anchor>
          </w:drawing>
        </mc:Choice>
        <mc:Fallback>
          <w:pict>
            <v:shape id="_x0000_s1026" o:spid="_x0000_s1026" o:spt="202" type="#_x0000_t202" style="position:absolute;left:0pt;margin-left:166.2pt;margin-top:705pt;height:22.5pt;width:89.15pt;mso-position-horizontal-relative:margin;z-index:251660288;mso-width-relative:page;mso-height-relative:page;" filled="f" stroked="f" coordsize="21600,21600" o:gfxdata="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Tc7zRdkAAAANAQAA&#10;DwAAAAAAAAABACAAAAAiAAAAZHJzL2Rvd25yZXYueG1sUEsBAhQAFAAAAAgAh07iQItNmqtRAgAA&#10;iwQAAA4AAAAAAAAAAQAgAAAAKAEAAGRycy9lMm9Eb2MueG1sUEsFBgAAAAAGAAYAWQEAAOsFAAAA&#10;AA==&#10;">
              <v:fill on="f" focussize="0,0"/>
              <v:stroke on="f" weight="1pt" miterlimit="4" joinstyle="miter"/>
              <v:imagedata o:title=""/>
              <o:lock v:ext="edit" aspectratio="f"/>
              <v:textbox inset="0mm,0mm,0mm,0mm">
                <w:txbxContent>
                  <w:p w14:paraId="46FFC50D">
                    <w:pPr>
                      <w:pStyle w:val="11"/>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B4FE1">
    <w:pPr>
      <w:pStyle w:val="30"/>
      <w:framePr w:wrap="auto" w:vAnchor="margin" w:hAnchor="text" w:yAlign="inline"/>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2FFCA">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1BDBB2"/>
    <w:multiLevelType w:val="singleLevel"/>
    <w:tmpl w:val="981BDBB2"/>
    <w:lvl w:ilvl="0" w:tentative="0">
      <w:start w:val="2"/>
      <w:numFmt w:val="decimal"/>
      <w:suff w:val="nothing"/>
      <w:lvlText w:val="%1、"/>
      <w:lvlJc w:val="left"/>
    </w:lvl>
  </w:abstractNum>
  <w:abstractNum w:abstractNumId="1">
    <w:nsid w:val="C3F8A72A"/>
    <w:multiLevelType w:val="singleLevel"/>
    <w:tmpl w:val="C3F8A72A"/>
    <w:lvl w:ilvl="0" w:tentative="0">
      <w:start w:val="1"/>
      <w:numFmt w:val="decimal"/>
      <w:suff w:val="nothing"/>
      <w:lvlText w:val="（%1）"/>
      <w:lvlJc w:val="left"/>
    </w:lvl>
  </w:abstractNum>
  <w:abstractNum w:abstractNumId="2">
    <w:nsid w:val="505712E9"/>
    <w:multiLevelType w:val="singleLevel"/>
    <w:tmpl w:val="505712E9"/>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SystemFonts/>
  <w:bordersDoNotSurroundHeader w:val="0"/>
  <w:bordersDoNotSurroundFooter w:val="0"/>
  <w:documentProtection w:enforcement="0"/>
  <w:defaultTabStop w:val="420"/>
  <w:displayHorizontalDrawingGridEvery w:val="1"/>
  <w:displayVerticalDrawingGridEvery w:val="1"/>
  <w:noPunctuationKerning w:val="1"/>
  <w:characterSpacingControl w:val="doNotCompress"/>
  <w:noLineBreaksAfter w:lang="zh-CN" w:val="‘“(〔[{〈《「『【⦅〘〖«〝︵︷︹︻︽︿﹁﹃﹇﹙﹛﹝｢"/>
  <w:noLineBreaksBefore w:lang="zh-CN" w:val="’”)〕]}〉"/>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NhYjNjYTJjMTZkY2RjMWVmYzNiZTc3ZmUyZjg1NmUifQ=="/>
  </w:docVars>
  <w:rsids>
    <w:rsidRoot w:val="00172A27"/>
    <w:rsid w:val="00172A27"/>
    <w:rsid w:val="006A50FA"/>
    <w:rsid w:val="007326DF"/>
    <w:rsid w:val="007A2F1C"/>
    <w:rsid w:val="00A0552E"/>
    <w:rsid w:val="00B55AF9"/>
    <w:rsid w:val="00B8196E"/>
    <w:rsid w:val="00BC3D7B"/>
    <w:rsid w:val="00C309D2"/>
    <w:rsid w:val="00C9085C"/>
    <w:rsid w:val="00FA70CD"/>
    <w:rsid w:val="014C1F37"/>
    <w:rsid w:val="019E2DBE"/>
    <w:rsid w:val="023A3A33"/>
    <w:rsid w:val="024300FB"/>
    <w:rsid w:val="024C15CF"/>
    <w:rsid w:val="02547825"/>
    <w:rsid w:val="02B04ABC"/>
    <w:rsid w:val="02C2004A"/>
    <w:rsid w:val="02C24895"/>
    <w:rsid w:val="038672E8"/>
    <w:rsid w:val="043113F9"/>
    <w:rsid w:val="043F299D"/>
    <w:rsid w:val="044B0E64"/>
    <w:rsid w:val="0491260D"/>
    <w:rsid w:val="049E7588"/>
    <w:rsid w:val="050D4849"/>
    <w:rsid w:val="05623797"/>
    <w:rsid w:val="061D0A00"/>
    <w:rsid w:val="06304F9D"/>
    <w:rsid w:val="06415FBB"/>
    <w:rsid w:val="071A025A"/>
    <w:rsid w:val="073F2629"/>
    <w:rsid w:val="07CD0348"/>
    <w:rsid w:val="07D74797"/>
    <w:rsid w:val="07ED6D23"/>
    <w:rsid w:val="081F5B7A"/>
    <w:rsid w:val="0899642B"/>
    <w:rsid w:val="09116FB1"/>
    <w:rsid w:val="095A7CB3"/>
    <w:rsid w:val="098D00AD"/>
    <w:rsid w:val="09E6423A"/>
    <w:rsid w:val="0A0A4661"/>
    <w:rsid w:val="0A9B78EE"/>
    <w:rsid w:val="0AA6363C"/>
    <w:rsid w:val="0AB93C82"/>
    <w:rsid w:val="0B2B3E47"/>
    <w:rsid w:val="0B93489F"/>
    <w:rsid w:val="0BB37C4B"/>
    <w:rsid w:val="0BE81DF9"/>
    <w:rsid w:val="0C9A1D8E"/>
    <w:rsid w:val="0CC25F19"/>
    <w:rsid w:val="0D381DBD"/>
    <w:rsid w:val="0D9951E8"/>
    <w:rsid w:val="0DC363ED"/>
    <w:rsid w:val="0FD52CE0"/>
    <w:rsid w:val="0FD9253D"/>
    <w:rsid w:val="0FDB5EA5"/>
    <w:rsid w:val="100D6828"/>
    <w:rsid w:val="106543DC"/>
    <w:rsid w:val="10B218B8"/>
    <w:rsid w:val="10CD5EA6"/>
    <w:rsid w:val="11380CCB"/>
    <w:rsid w:val="140E413A"/>
    <w:rsid w:val="14FA6062"/>
    <w:rsid w:val="15A136FE"/>
    <w:rsid w:val="15B07E81"/>
    <w:rsid w:val="168F20CE"/>
    <w:rsid w:val="16E516C6"/>
    <w:rsid w:val="174838EF"/>
    <w:rsid w:val="17981E8F"/>
    <w:rsid w:val="1861482A"/>
    <w:rsid w:val="19583322"/>
    <w:rsid w:val="195E6747"/>
    <w:rsid w:val="1A5D7931"/>
    <w:rsid w:val="1AD638BE"/>
    <w:rsid w:val="1B0150F1"/>
    <w:rsid w:val="1B1D3FD6"/>
    <w:rsid w:val="1B2C7B36"/>
    <w:rsid w:val="1B7955E1"/>
    <w:rsid w:val="1BDD3DA5"/>
    <w:rsid w:val="1BED1392"/>
    <w:rsid w:val="1BFB69C0"/>
    <w:rsid w:val="1C0F29B1"/>
    <w:rsid w:val="1C322BB7"/>
    <w:rsid w:val="1CAC2181"/>
    <w:rsid w:val="1CBF1566"/>
    <w:rsid w:val="1CF20A54"/>
    <w:rsid w:val="1CFF68B4"/>
    <w:rsid w:val="1D970CFC"/>
    <w:rsid w:val="1DB23C0B"/>
    <w:rsid w:val="1EFA5217"/>
    <w:rsid w:val="1F8F77FD"/>
    <w:rsid w:val="201062FC"/>
    <w:rsid w:val="205163BE"/>
    <w:rsid w:val="219132FB"/>
    <w:rsid w:val="21C47050"/>
    <w:rsid w:val="21FD4113"/>
    <w:rsid w:val="22D00EB0"/>
    <w:rsid w:val="22F1606B"/>
    <w:rsid w:val="2351663C"/>
    <w:rsid w:val="23AB43E8"/>
    <w:rsid w:val="245A088B"/>
    <w:rsid w:val="245F0C9E"/>
    <w:rsid w:val="24A006CC"/>
    <w:rsid w:val="24B45492"/>
    <w:rsid w:val="24FB5CB3"/>
    <w:rsid w:val="262C6D90"/>
    <w:rsid w:val="26BE19EF"/>
    <w:rsid w:val="27BD54C6"/>
    <w:rsid w:val="284E0260"/>
    <w:rsid w:val="28A450B9"/>
    <w:rsid w:val="28C64C12"/>
    <w:rsid w:val="28D6674B"/>
    <w:rsid w:val="28E7251D"/>
    <w:rsid w:val="294A72C5"/>
    <w:rsid w:val="29565F0F"/>
    <w:rsid w:val="29765334"/>
    <w:rsid w:val="299E3781"/>
    <w:rsid w:val="29DB69C6"/>
    <w:rsid w:val="2A451933"/>
    <w:rsid w:val="2B774634"/>
    <w:rsid w:val="2C677130"/>
    <w:rsid w:val="2CB12B13"/>
    <w:rsid w:val="2CFF41D5"/>
    <w:rsid w:val="2D2640D4"/>
    <w:rsid w:val="2DB33930"/>
    <w:rsid w:val="2DB7701A"/>
    <w:rsid w:val="2DB97FB3"/>
    <w:rsid w:val="2E046D43"/>
    <w:rsid w:val="2E185319"/>
    <w:rsid w:val="2E2D62CC"/>
    <w:rsid w:val="2E39100B"/>
    <w:rsid w:val="2E4034A0"/>
    <w:rsid w:val="2EDE37A2"/>
    <w:rsid w:val="2EEC77D7"/>
    <w:rsid w:val="2F690995"/>
    <w:rsid w:val="2FA03983"/>
    <w:rsid w:val="31820D34"/>
    <w:rsid w:val="31D1754E"/>
    <w:rsid w:val="320F2F73"/>
    <w:rsid w:val="322D042D"/>
    <w:rsid w:val="327E16D2"/>
    <w:rsid w:val="32D02EF5"/>
    <w:rsid w:val="32FD030B"/>
    <w:rsid w:val="337404A1"/>
    <w:rsid w:val="33A81F17"/>
    <w:rsid w:val="340F04F3"/>
    <w:rsid w:val="35642D82"/>
    <w:rsid w:val="35E421F9"/>
    <w:rsid w:val="361F3BD3"/>
    <w:rsid w:val="36CC0C86"/>
    <w:rsid w:val="36E11002"/>
    <w:rsid w:val="370E04C5"/>
    <w:rsid w:val="371834E5"/>
    <w:rsid w:val="372C4A22"/>
    <w:rsid w:val="37314A6B"/>
    <w:rsid w:val="37B04845"/>
    <w:rsid w:val="37DD445E"/>
    <w:rsid w:val="38A807CE"/>
    <w:rsid w:val="38CD5385"/>
    <w:rsid w:val="3AB652D5"/>
    <w:rsid w:val="3AFB30DD"/>
    <w:rsid w:val="3B286FE0"/>
    <w:rsid w:val="3B497155"/>
    <w:rsid w:val="3B9C1436"/>
    <w:rsid w:val="3BA75327"/>
    <w:rsid w:val="3C301A6B"/>
    <w:rsid w:val="3C3257D1"/>
    <w:rsid w:val="3C4871B9"/>
    <w:rsid w:val="3D1E02FB"/>
    <w:rsid w:val="3DB15680"/>
    <w:rsid w:val="3E410621"/>
    <w:rsid w:val="3E647790"/>
    <w:rsid w:val="3E772B72"/>
    <w:rsid w:val="3F5D3D7D"/>
    <w:rsid w:val="3FA10590"/>
    <w:rsid w:val="3FD87226"/>
    <w:rsid w:val="3FEA7A79"/>
    <w:rsid w:val="400224F5"/>
    <w:rsid w:val="4033666C"/>
    <w:rsid w:val="40A25D3E"/>
    <w:rsid w:val="40B05440"/>
    <w:rsid w:val="41000ED7"/>
    <w:rsid w:val="415A648B"/>
    <w:rsid w:val="420416B7"/>
    <w:rsid w:val="423A2EF4"/>
    <w:rsid w:val="42480BEE"/>
    <w:rsid w:val="4282199D"/>
    <w:rsid w:val="42CD4900"/>
    <w:rsid w:val="44935E12"/>
    <w:rsid w:val="451E2F5B"/>
    <w:rsid w:val="455436D3"/>
    <w:rsid w:val="45BA47D3"/>
    <w:rsid w:val="46171F44"/>
    <w:rsid w:val="46C42F35"/>
    <w:rsid w:val="46D05AEB"/>
    <w:rsid w:val="4703605D"/>
    <w:rsid w:val="479A3252"/>
    <w:rsid w:val="4885485B"/>
    <w:rsid w:val="488C3E1C"/>
    <w:rsid w:val="48921A9D"/>
    <w:rsid w:val="493B5A4A"/>
    <w:rsid w:val="49415E3C"/>
    <w:rsid w:val="499C7517"/>
    <w:rsid w:val="4B1E4D42"/>
    <w:rsid w:val="4B9A2838"/>
    <w:rsid w:val="4CB9722B"/>
    <w:rsid w:val="4D2F1B44"/>
    <w:rsid w:val="4D6D2823"/>
    <w:rsid w:val="4EB27EE8"/>
    <w:rsid w:val="4FCF1240"/>
    <w:rsid w:val="510A7280"/>
    <w:rsid w:val="519F2ED6"/>
    <w:rsid w:val="51EB08AF"/>
    <w:rsid w:val="524170EC"/>
    <w:rsid w:val="52885F20"/>
    <w:rsid w:val="52BA21D8"/>
    <w:rsid w:val="535328CC"/>
    <w:rsid w:val="53844015"/>
    <w:rsid w:val="53CD3DB2"/>
    <w:rsid w:val="53D85B2C"/>
    <w:rsid w:val="53ED3F12"/>
    <w:rsid w:val="54153486"/>
    <w:rsid w:val="54921FFB"/>
    <w:rsid w:val="54C942CF"/>
    <w:rsid w:val="551014B3"/>
    <w:rsid w:val="555A7110"/>
    <w:rsid w:val="555E3C11"/>
    <w:rsid w:val="55D93423"/>
    <w:rsid w:val="55F10CA7"/>
    <w:rsid w:val="568B2C88"/>
    <w:rsid w:val="56B8033A"/>
    <w:rsid w:val="57021FF1"/>
    <w:rsid w:val="570441D3"/>
    <w:rsid w:val="575B27BF"/>
    <w:rsid w:val="577578C4"/>
    <w:rsid w:val="58F51880"/>
    <w:rsid w:val="59065871"/>
    <w:rsid w:val="5A6C3B35"/>
    <w:rsid w:val="5AEC1D43"/>
    <w:rsid w:val="5B081D8F"/>
    <w:rsid w:val="5B5A24DB"/>
    <w:rsid w:val="5B841066"/>
    <w:rsid w:val="5B8F661B"/>
    <w:rsid w:val="5BAC5C27"/>
    <w:rsid w:val="5BC3207D"/>
    <w:rsid w:val="5C8C126B"/>
    <w:rsid w:val="5CAC3721"/>
    <w:rsid w:val="5CCD5552"/>
    <w:rsid w:val="5D0C4B73"/>
    <w:rsid w:val="5D1F68FE"/>
    <w:rsid w:val="5D9E0276"/>
    <w:rsid w:val="5DE16107"/>
    <w:rsid w:val="5E0377E8"/>
    <w:rsid w:val="5E550C74"/>
    <w:rsid w:val="5E7774AE"/>
    <w:rsid w:val="5F304531"/>
    <w:rsid w:val="5FFD841A"/>
    <w:rsid w:val="6056454E"/>
    <w:rsid w:val="605C5044"/>
    <w:rsid w:val="60F811B6"/>
    <w:rsid w:val="6250537A"/>
    <w:rsid w:val="62842A8A"/>
    <w:rsid w:val="628F7C91"/>
    <w:rsid w:val="62C81DDF"/>
    <w:rsid w:val="63850EF3"/>
    <w:rsid w:val="64343753"/>
    <w:rsid w:val="646B5AF4"/>
    <w:rsid w:val="650B4576"/>
    <w:rsid w:val="655B557A"/>
    <w:rsid w:val="65750EF0"/>
    <w:rsid w:val="660A102C"/>
    <w:rsid w:val="662004A1"/>
    <w:rsid w:val="66DC2E14"/>
    <w:rsid w:val="66DE31DE"/>
    <w:rsid w:val="67492634"/>
    <w:rsid w:val="67760BCD"/>
    <w:rsid w:val="6785318B"/>
    <w:rsid w:val="69602269"/>
    <w:rsid w:val="69A057C9"/>
    <w:rsid w:val="69A27515"/>
    <w:rsid w:val="69A311B6"/>
    <w:rsid w:val="69CF659F"/>
    <w:rsid w:val="6A1B123A"/>
    <w:rsid w:val="6A771E2F"/>
    <w:rsid w:val="6A9A6851"/>
    <w:rsid w:val="6D903084"/>
    <w:rsid w:val="6D9429F2"/>
    <w:rsid w:val="6DA27FF8"/>
    <w:rsid w:val="6E6762FD"/>
    <w:rsid w:val="6EFF1E99"/>
    <w:rsid w:val="6F2E3518"/>
    <w:rsid w:val="6F5A1A2F"/>
    <w:rsid w:val="6FA32ACE"/>
    <w:rsid w:val="6FA80A40"/>
    <w:rsid w:val="701A4460"/>
    <w:rsid w:val="70F63422"/>
    <w:rsid w:val="71524287"/>
    <w:rsid w:val="717F6CC2"/>
    <w:rsid w:val="71B1081E"/>
    <w:rsid w:val="71BF7E52"/>
    <w:rsid w:val="7265409A"/>
    <w:rsid w:val="730F67BB"/>
    <w:rsid w:val="73314959"/>
    <w:rsid w:val="73376ADC"/>
    <w:rsid w:val="73774085"/>
    <w:rsid w:val="73C14AB2"/>
    <w:rsid w:val="73FC46A6"/>
    <w:rsid w:val="74C302F2"/>
    <w:rsid w:val="750039F8"/>
    <w:rsid w:val="753E4CE6"/>
    <w:rsid w:val="756A3E1D"/>
    <w:rsid w:val="75B545B1"/>
    <w:rsid w:val="76147BCB"/>
    <w:rsid w:val="7657546E"/>
    <w:rsid w:val="768F5040"/>
    <w:rsid w:val="76B55335"/>
    <w:rsid w:val="76CF38AD"/>
    <w:rsid w:val="77B24188"/>
    <w:rsid w:val="77DD680A"/>
    <w:rsid w:val="7889342D"/>
    <w:rsid w:val="789A2E8C"/>
    <w:rsid w:val="7908342F"/>
    <w:rsid w:val="79A11556"/>
    <w:rsid w:val="7A1C2C5E"/>
    <w:rsid w:val="7AE35C69"/>
    <w:rsid w:val="7B0E5932"/>
    <w:rsid w:val="7B5527F0"/>
    <w:rsid w:val="7B735A7A"/>
    <w:rsid w:val="7B7FB21E"/>
    <w:rsid w:val="7BA94AC9"/>
    <w:rsid w:val="7BB34D31"/>
    <w:rsid w:val="7BF179A9"/>
    <w:rsid w:val="7C37455E"/>
    <w:rsid w:val="7CA9041D"/>
    <w:rsid w:val="7D057841"/>
    <w:rsid w:val="7D4B110B"/>
    <w:rsid w:val="7DBA5B2F"/>
    <w:rsid w:val="7E3855A4"/>
    <w:rsid w:val="7FB8524F"/>
    <w:rsid w:val="7FDD23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framePr w:wrap="around" w:vAnchor="margin" w:hAnchor="text" w:y="1"/>
    </w:pPr>
    <w:rPr>
      <w:rFonts w:ascii="Times New Roman" w:hAnsi="Times New Roman" w:eastAsia="Arial Unicode MS" w:cs="Times New Roman"/>
      <w:sz w:val="24"/>
      <w:szCs w:val="24"/>
      <w:lang w:val="en-US" w:eastAsia="en-US" w:bidi="ar-SA"/>
    </w:rPr>
  </w:style>
  <w:style w:type="paragraph" w:styleId="3">
    <w:name w:val="heading 1"/>
    <w:basedOn w:val="1"/>
    <w:next w:val="1"/>
    <w:autoRedefine/>
    <w:qFormat/>
    <w:uiPriority w:val="9"/>
    <w:pPr>
      <w:keepNext/>
      <w:keepLines/>
      <w:spacing w:before="340" w:after="330" w:line="578" w:lineRule="auto"/>
      <w:jc w:val="center"/>
      <w:outlineLvl w:val="0"/>
    </w:pPr>
    <w:rPr>
      <w:rFonts w:eastAsia="方正小标宋简体"/>
      <w:bCs/>
      <w:kern w:val="44"/>
      <w:sz w:val="28"/>
      <w:szCs w:val="44"/>
    </w:rPr>
  </w:style>
  <w:style w:type="paragraph" w:styleId="2">
    <w:name w:val="heading 2"/>
    <w:basedOn w:val="1"/>
    <w:next w:val="1"/>
    <w:autoRedefine/>
    <w:unhideWhenUsed/>
    <w:qFormat/>
    <w:uiPriority w:val="9"/>
    <w:pPr>
      <w:keepNext/>
      <w:keepLines/>
      <w:spacing w:before="120" w:after="120"/>
      <w:jc w:val="center"/>
      <w:outlineLvl w:val="1"/>
    </w:pPr>
    <w:rPr>
      <w:rFonts w:asciiTheme="majorHAnsi" w:hAnsiTheme="majorHAnsi" w:cstheme="majorBidi"/>
      <w:bCs/>
      <w:szCs w:val="32"/>
    </w:rPr>
  </w:style>
  <w:style w:type="paragraph" w:styleId="4">
    <w:name w:val="heading 3"/>
    <w:basedOn w:val="1"/>
    <w:next w:val="1"/>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autoRedefine/>
    <w:qFormat/>
    <w:uiPriority w:val="0"/>
  </w:style>
  <w:style w:type="paragraph" w:styleId="7">
    <w:name w:val="Body Text"/>
    <w:basedOn w:val="1"/>
    <w:autoRedefine/>
    <w:qFormat/>
    <w:uiPriority w:val="1"/>
    <w:rPr>
      <w:rFonts w:ascii="宋体" w:hAnsi="宋体" w:eastAsia="宋体" w:cs="宋体"/>
      <w:sz w:val="20"/>
      <w:szCs w:val="20"/>
      <w:lang w:val="zh-CN" w:eastAsia="zh-CN" w:bidi="zh-CN"/>
    </w:rPr>
  </w:style>
  <w:style w:type="paragraph" w:styleId="8">
    <w:name w:val="Body Text Indent"/>
    <w:basedOn w:val="1"/>
    <w:autoRedefine/>
    <w:qFormat/>
    <w:uiPriority w:val="0"/>
    <w:pPr>
      <w:spacing w:line="460" w:lineRule="exact"/>
      <w:ind w:firstLine="482" w:firstLineChars="200"/>
    </w:pPr>
    <w:rPr>
      <w:b/>
      <w:bCs/>
      <w:shd w:val="clear" w:color="auto" w:fill="CCCCCC"/>
    </w:rPr>
  </w:style>
  <w:style w:type="paragraph" w:styleId="9">
    <w:name w:val="Plain Text"/>
    <w:basedOn w:val="1"/>
    <w:autoRedefine/>
    <w:qFormat/>
    <w:uiPriority w:val="0"/>
    <w:rPr>
      <w:rFonts w:ascii="宋体" w:hAnsi="Courier New"/>
      <w:sz w:val="20"/>
    </w:rPr>
  </w:style>
  <w:style w:type="paragraph" w:styleId="10">
    <w:name w:val="Body Text Indent 2"/>
    <w:basedOn w:val="1"/>
    <w:autoRedefine/>
    <w:qFormat/>
    <w:uiPriority w:val="0"/>
    <w:pPr>
      <w:spacing w:after="120" w:line="480" w:lineRule="auto"/>
      <w:ind w:left="420" w:leftChars="200"/>
    </w:pPr>
    <w:rPr>
      <w:rFonts w:eastAsia="仿宋_GB2312"/>
      <w:sz w:val="32"/>
    </w:rPr>
  </w:style>
  <w:style w:type="paragraph" w:styleId="11">
    <w:name w:val="footer"/>
    <w:basedOn w:val="1"/>
    <w:link w:val="39"/>
    <w:autoRedefine/>
    <w:qFormat/>
    <w:uiPriority w:val="0"/>
    <w:pPr>
      <w:tabs>
        <w:tab w:val="center" w:pos="4153"/>
        <w:tab w:val="right" w:pos="8306"/>
      </w:tabs>
      <w:snapToGrid w:val="0"/>
    </w:pPr>
    <w:rPr>
      <w:sz w:val="18"/>
      <w:szCs w:val="18"/>
    </w:rPr>
  </w:style>
  <w:style w:type="paragraph" w:styleId="12">
    <w:name w:val="header"/>
    <w:basedOn w:val="1"/>
    <w:link w:val="38"/>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style>
  <w:style w:type="paragraph" w:styleId="14">
    <w:name w:val="Body Text Indent 3"/>
    <w:basedOn w:val="1"/>
    <w:autoRedefine/>
    <w:qFormat/>
    <w:uiPriority w:val="0"/>
    <w:pPr>
      <w:spacing w:line="360" w:lineRule="auto"/>
      <w:ind w:firstLine="560" w:firstLineChars="200"/>
    </w:pPr>
    <w:rPr>
      <w:rFonts w:ascii="宋体" w:hAnsi="宋体"/>
      <w:sz w:val="28"/>
    </w:rPr>
  </w:style>
  <w:style w:type="paragraph" w:styleId="15">
    <w:name w:val="Normal (Web)"/>
    <w:basedOn w:val="1"/>
    <w:autoRedefine/>
    <w:qFormat/>
    <w:uiPriority w:val="0"/>
    <w:pPr>
      <w:spacing w:beforeAutospacing="1" w:afterAutospacing="1"/>
    </w:pPr>
    <w:rPr>
      <w:lang w:eastAsia="zh-CN"/>
    </w:rPr>
  </w:style>
  <w:style w:type="paragraph" w:styleId="16">
    <w:name w:val="Title"/>
    <w:next w:val="1"/>
    <w:qFormat/>
    <w:uiPriority w:val="0"/>
    <w:pPr>
      <w:widowControl w:val="0"/>
      <w:spacing w:before="240" w:after="60"/>
      <w:jc w:val="center"/>
      <w:outlineLvl w:val="0"/>
    </w:pPr>
    <w:rPr>
      <w:rFonts w:ascii="Cambria" w:hAnsi="Cambria" w:eastAsia="宋体" w:cs="Times New Roman"/>
      <w:b/>
      <w:bCs/>
      <w:kern w:val="21"/>
      <w:sz w:val="32"/>
      <w:szCs w:val="32"/>
      <w:lang w:val="en-US" w:eastAsia="zh-CN" w:bidi="ar-SA"/>
    </w:rPr>
  </w:style>
  <w:style w:type="paragraph" w:styleId="17">
    <w:name w:val="Body Text First Indent 2"/>
    <w:basedOn w:val="8"/>
    <w:next w:val="10"/>
    <w:autoRedefine/>
    <w:qFormat/>
    <w:uiPriority w:val="0"/>
    <w:pPr>
      <w:spacing w:after="120" w:line="240" w:lineRule="auto"/>
      <w:ind w:left="420" w:leftChars="200" w:firstLine="420"/>
    </w:pPr>
    <w:rPr>
      <w:rFonts w:cs="宋体"/>
      <w:sz w:val="21"/>
      <w:szCs w:val="21"/>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autoRedefine/>
    <w:qFormat/>
    <w:uiPriority w:val="0"/>
    <w:rPr>
      <w:b/>
    </w:rPr>
  </w:style>
  <w:style w:type="character" w:styleId="22">
    <w:name w:val="page number"/>
    <w:qFormat/>
    <w:uiPriority w:val="0"/>
  </w:style>
  <w:style w:type="character" w:styleId="23">
    <w:name w:val="Hyperlink"/>
    <w:autoRedefine/>
    <w:qFormat/>
    <w:uiPriority w:val="0"/>
    <w:rPr>
      <w:u w:val="single"/>
    </w:rPr>
  </w:style>
  <w:style w:type="paragraph" w:customStyle="1" w:styleId="24">
    <w:name w:val="BodyText1I2"/>
    <w:basedOn w:val="25"/>
    <w:next w:val="1"/>
    <w:autoRedefine/>
    <w:qFormat/>
    <w:uiPriority w:val="0"/>
  </w:style>
  <w:style w:type="paragraph" w:customStyle="1" w:styleId="25">
    <w:name w:val="BodyTextIndent"/>
    <w:basedOn w:val="1"/>
    <w:autoRedefine/>
    <w:qFormat/>
    <w:uiPriority w:val="0"/>
    <w:pPr>
      <w:widowControl/>
      <w:spacing w:line="357" w:lineRule="atLeast"/>
      <w:ind w:firstLine="525"/>
      <w:textAlignment w:val="baseline"/>
    </w:pPr>
    <w:rPr>
      <w:rFonts w:hAnsi="Calibri" w:eastAsia="Times New Roman"/>
      <w:color w:val="000000"/>
      <w:sz w:val="28"/>
      <w:szCs w:val="22"/>
    </w:rPr>
  </w:style>
  <w:style w:type="paragraph" w:customStyle="1" w:styleId="26">
    <w:name w:val="Quote1"/>
    <w:next w:val="1"/>
    <w:autoRedefine/>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customStyle="1" w:styleId="27">
    <w:name w:val="z正文"/>
    <w:basedOn w:val="9"/>
    <w:autoRedefine/>
    <w:qFormat/>
    <w:uiPriority w:val="99"/>
    <w:pPr>
      <w:tabs>
        <w:tab w:val="left" w:pos="525"/>
      </w:tabs>
      <w:snapToGrid w:val="0"/>
      <w:spacing w:line="360" w:lineRule="auto"/>
    </w:pPr>
    <w:rPr>
      <w:rFonts w:hAnsi="宋体"/>
      <w:kern w:val="2"/>
      <w:sz w:val="24"/>
      <w:szCs w:val="20"/>
    </w:rPr>
  </w:style>
  <w:style w:type="paragraph" w:customStyle="1" w:styleId="28">
    <w:name w:val="正文正"/>
    <w:basedOn w:val="1"/>
    <w:autoRedefine/>
    <w:qFormat/>
    <w:uiPriority w:val="0"/>
    <w:pPr>
      <w:spacing w:line="560" w:lineRule="exact"/>
      <w:ind w:firstLine="561"/>
    </w:pPr>
    <w:rPr>
      <w:rFonts w:ascii="Calibri" w:hAnsi="Calibri"/>
      <w:sz w:val="28"/>
      <w:szCs w:val="28"/>
    </w:rPr>
  </w:style>
  <w:style w:type="table" w:customStyle="1" w:styleId="29">
    <w:name w:val="Table Normal"/>
    <w:autoRedefine/>
    <w:qFormat/>
    <w:uiPriority w:val="0"/>
    <w:tblPr>
      <w:tblCellMar>
        <w:top w:w="0" w:type="dxa"/>
        <w:left w:w="0" w:type="dxa"/>
        <w:bottom w:w="0" w:type="dxa"/>
        <w:right w:w="0" w:type="dxa"/>
      </w:tblCellMar>
    </w:tblPr>
  </w:style>
  <w:style w:type="paragraph" w:customStyle="1" w:styleId="30">
    <w:name w:val="页眉与页脚"/>
    <w:autoRedefine/>
    <w:qFormat/>
    <w:uiPriority w:val="0"/>
    <w:pPr>
      <w:framePr w:wrap="around" w:vAnchor="margin" w:hAnchor="text" w:y="1"/>
      <w:tabs>
        <w:tab w:val="right" w:pos="9020"/>
      </w:tabs>
    </w:pPr>
    <w:rPr>
      <w:rFonts w:ascii="Helvetica Neue" w:hAnsi="Helvetica Neue" w:eastAsia="Arial Unicode MS" w:cs="Arial Unicode MS"/>
      <w:color w:val="000000"/>
      <w:sz w:val="24"/>
      <w:szCs w:val="24"/>
      <w:lang w:val="en-US" w:eastAsia="zh-CN" w:bidi="ar-SA"/>
    </w:rPr>
  </w:style>
  <w:style w:type="paragraph" w:customStyle="1" w:styleId="31">
    <w:name w:val="正文 A"/>
    <w:autoRedefine/>
    <w:qFormat/>
    <w:uiPriority w:val="0"/>
    <w:pPr>
      <w:framePr w:wrap="around" w:vAnchor="margin" w:hAnchor="text" w:y="1"/>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styleId="32">
    <w:name w:val="List Paragraph"/>
    <w:basedOn w:val="1"/>
    <w:autoRedefine/>
    <w:qFormat/>
    <w:uiPriority w:val="0"/>
    <w:pPr>
      <w:ind w:firstLine="420" w:firstLineChars="200"/>
    </w:pPr>
  </w:style>
  <w:style w:type="paragraph" w:customStyle="1" w:styleId="33">
    <w:name w:val="Normal_141"/>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34">
    <w:name w:val="样式 标题 2 + Times New Roman 四号 非加粗 段前: 5 磅 段后: 0 磅 行距: 固定值 20..."/>
    <w:basedOn w:val="2"/>
    <w:autoRedefine/>
    <w:qFormat/>
    <w:uiPriority w:val="0"/>
    <w:pPr>
      <w:spacing w:before="100" w:after="0" w:line="400" w:lineRule="exact"/>
    </w:pPr>
    <w:rPr>
      <w:rFonts w:ascii="Times New Roman" w:hAnsi="Times New Roman" w:cs="宋体"/>
      <w:bCs w:val="0"/>
      <w:sz w:val="28"/>
      <w:szCs w:val="20"/>
    </w:rPr>
  </w:style>
  <w:style w:type="character" w:customStyle="1" w:styleId="35">
    <w:name w:val="font41"/>
    <w:basedOn w:val="20"/>
    <w:autoRedefine/>
    <w:qFormat/>
    <w:uiPriority w:val="0"/>
    <w:rPr>
      <w:rFonts w:ascii="黑体" w:hAnsi="宋体" w:eastAsia="黑体" w:cs="黑体"/>
      <w:b/>
      <w:color w:val="000000"/>
      <w:sz w:val="21"/>
      <w:szCs w:val="21"/>
      <w:u w:val="none"/>
    </w:rPr>
  </w:style>
  <w:style w:type="paragraph" w:customStyle="1" w:styleId="36">
    <w:name w:val="Table Paragraph"/>
    <w:basedOn w:val="1"/>
    <w:autoRedefine/>
    <w:qFormat/>
    <w:uiPriority w:val="1"/>
    <w:rPr>
      <w:rFonts w:ascii="宋体" w:hAnsi="宋体" w:eastAsia="宋体" w:cs="宋体"/>
      <w:lang w:val="zh-CN" w:eastAsia="zh-CN" w:bidi="zh-CN"/>
    </w:rPr>
  </w:style>
  <w:style w:type="character" w:customStyle="1" w:styleId="37">
    <w:name w:val="font81"/>
    <w:basedOn w:val="20"/>
    <w:autoRedefine/>
    <w:qFormat/>
    <w:uiPriority w:val="0"/>
    <w:rPr>
      <w:rFonts w:hint="default" w:ascii="Calibri" w:hAnsi="Calibri" w:cs="Calibri"/>
      <w:color w:val="000000"/>
      <w:sz w:val="18"/>
      <w:szCs w:val="18"/>
      <w:u w:val="none"/>
    </w:rPr>
  </w:style>
  <w:style w:type="character" w:customStyle="1" w:styleId="38">
    <w:name w:val="页眉 字符"/>
    <w:basedOn w:val="20"/>
    <w:link w:val="12"/>
    <w:autoRedefine/>
    <w:qFormat/>
    <w:uiPriority w:val="0"/>
    <w:rPr>
      <w:rFonts w:eastAsia="Arial Unicode MS"/>
      <w:sz w:val="18"/>
      <w:szCs w:val="18"/>
      <w:lang w:eastAsia="en-US"/>
    </w:rPr>
  </w:style>
  <w:style w:type="character" w:customStyle="1" w:styleId="39">
    <w:name w:val="页脚 字符"/>
    <w:basedOn w:val="20"/>
    <w:link w:val="11"/>
    <w:autoRedefine/>
    <w:qFormat/>
    <w:uiPriority w:val="0"/>
    <w:rPr>
      <w:rFonts w:eastAsia="Arial Unicode MS"/>
      <w:sz w:val="18"/>
      <w:szCs w:val="18"/>
      <w:lang w:eastAsia="en-US"/>
    </w:rPr>
  </w:style>
  <w:style w:type="paragraph" w:customStyle="1" w:styleId="40">
    <w:name w:val="Other|1"/>
    <w:basedOn w:val="1"/>
    <w:autoRedefine/>
    <w:qFormat/>
    <w:uiPriority w:val="0"/>
    <w:pPr>
      <w:widowControl w:val="0"/>
      <w:shd w:val="clear" w:color="auto" w:fill="auto"/>
      <w:spacing w:after="180"/>
      <w:ind w:firstLine="140"/>
    </w:pPr>
    <w:rPr>
      <w:rFonts w:ascii="宋体" w:hAnsi="宋体" w:eastAsia="宋体" w:cs="宋体"/>
      <w:sz w:val="20"/>
      <w:szCs w:val="20"/>
      <w:u w:val="none"/>
      <w:shd w:val="clear" w:color="auto" w:fill="auto"/>
      <w:lang w:val="zh-TW" w:eastAsia="zh-TW" w:bidi="zh-TW"/>
    </w:rPr>
  </w:style>
  <w:style w:type="paragraph" w:customStyle="1" w:styleId="41">
    <w:name w:val="图"/>
    <w:basedOn w:val="1"/>
    <w:autoRedefine/>
    <w:unhideWhenUsed/>
    <w:qFormat/>
    <w:uiPriority w:val="0"/>
    <w:pPr>
      <w:keepNext/>
      <w:autoSpaceDE/>
      <w:autoSpaceDN/>
      <w:spacing w:before="60" w:beforeLines="0" w:after="60" w:afterLines="0" w:line="300" w:lineRule="auto"/>
      <w:jc w:val="center"/>
      <w:textAlignment w:val="center"/>
    </w:pPr>
    <w:rPr>
      <w:rFonts w:hint="default"/>
      <w:snapToGrid w:val="0"/>
      <w:spacing w:val="20"/>
      <w:sz w:val="24"/>
      <w:szCs w:val="21"/>
    </w:rPr>
  </w:style>
  <w:style w:type="paragraph" w:customStyle="1" w:styleId="42">
    <w:name w:val="Table Text"/>
    <w:basedOn w:val="1"/>
    <w:autoRedefine/>
    <w:semiHidden/>
    <w:qFormat/>
    <w:uiPriority w:val="0"/>
    <w:rPr>
      <w:rFonts w:ascii="宋体" w:hAnsi="宋体" w:eastAsia="宋体" w:cs="宋体"/>
      <w:sz w:val="22"/>
      <w:szCs w:val="22"/>
      <w:lang w:val="en-US" w:eastAsia="en-US" w:bidi="ar-SA"/>
    </w:rPr>
  </w:style>
  <w:style w:type="character" w:customStyle="1" w:styleId="43">
    <w:name w:val="NormalCharacter"/>
    <w:qFormat/>
    <w:uiPriority w:val="0"/>
    <w:rPr>
      <w:rFonts w:ascii="Times New Roman" w:hAnsi="Times New Roman" w:eastAsia="宋体"/>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1439</Words>
  <Characters>1643</Characters>
  <Lines>1</Lines>
  <Paragraphs>1</Paragraphs>
  <TotalTime>2</TotalTime>
  <ScaleCrop>false</ScaleCrop>
  <LinksUpToDate>false</LinksUpToDate>
  <CharactersWithSpaces>1669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2021-03-10T17:33:00Z</dcterms:created>
  <dc:creator>IBM</dc:creator>
  <cp:lastModifiedBy>WPS_1734938428</cp:lastModifiedBy>
  <cp:lastPrinted>2022-11-11T03:25:00Z</cp:lastPrinted>
  <dcterms:modified xsi:type="dcterms:W3CDTF">2025-01-07T09:16:40Z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A5554773260C4446925C52F87927E4AF_13</vt:lpwstr>
  </property>
  <property fmtid="{D5CDD505-2E9C-101B-9397-08002B2CF9AE}" pid="4" name="commondata">
    <vt:lpwstr>eyJoZGlkIjoiYjJkZmE2OTBmZTMyMzA3ODFhOGJmNmE3MTVmOWE3YWEifQ==</vt:lpwstr>
  </property>
  <property fmtid="{D5CDD505-2E9C-101B-9397-08002B2CF9AE}" pid="5" name="KSOTemplateDocerSaveRecord">
    <vt:lpwstr>eyJoZGlkIjoiZTcwNDdlYTI1OTFhMDMyZjIzNDQ4NGFmYzk0ZjJkYmQiLCJ1c2VySWQiOiIxNjY4MjkxOTUwIn0=</vt:lpwstr>
  </property>
</Properties>
</file>